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C96F58" w:rsidRPr="00AD5BD3" w:rsidTr="00EF2D58">
        <w:tc>
          <w:tcPr>
            <w:tcW w:w="10881" w:type="dxa"/>
            <w:gridSpan w:val="2"/>
            <w:shd w:val="clear" w:color="auto" w:fill="244061" w:themeFill="accent1" w:themeFillShade="80"/>
          </w:tcPr>
          <w:p w:rsidR="00C96F58" w:rsidRPr="00AD5BD3" w:rsidRDefault="00C96F58" w:rsidP="00EF2D58">
            <w:pPr>
              <w:jc w:val="center"/>
            </w:pPr>
            <w:r w:rsidRPr="00EF2D58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Cannabis</w:t>
            </w:r>
          </w:p>
        </w:tc>
      </w:tr>
      <w:tr w:rsidR="00C96F58" w:rsidRPr="00AD5BD3" w:rsidTr="00DB7973">
        <w:tc>
          <w:tcPr>
            <w:tcW w:w="10881" w:type="dxa"/>
            <w:gridSpan w:val="2"/>
          </w:tcPr>
          <w:p w:rsidR="00C96F58" w:rsidRPr="00AD5BD3" w:rsidRDefault="00EF2D58" w:rsidP="00C96F58">
            <w:r>
              <w:rPr>
                <w:b/>
              </w:rPr>
              <w:t>Marij</w:t>
            </w:r>
            <w:r w:rsidR="00C96F58" w:rsidRPr="00AD5BD3">
              <w:rPr>
                <w:b/>
              </w:rPr>
              <w:t>uana</w:t>
            </w:r>
            <w:r w:rsidR="00C96F58" w:rsidRPr="00AD5BD3">
              <w:t xml:space="preserve">-Crushed leaves, stems, and flowers of female hemp plant (cannabis </w:t>
            </w:r>
            <w:proofErr w:type="spellStart"/>
            <w:r w:rsidR="00C96F58" w:rsidRPr="00AD5BD3">
              <w:t>sativa</w:t>
            </w:r>
            <w:proofErr w:type="spellEnd"/>
            <w:r w:rsidR="00C96F58" w:rsidRPr="00AD5BD3">
              <w:t>)</w:t>
            </w:r>
            <w:r w:rsidR="007B694D">
              <w:t>.</w:t>
            </w:r>
            <w:r w:rsidR="00C96F58" w:rsidRPr="00AD5BD3">
              <w:t xml:space="preserve"> Pot, Grass, Dope, Ganja, Mary Jane, Reefer, Skunk, Weed, reefer, smoke, ace, blunt, dope, skunk5</w:t>
            </w:r>
          </w:p>
          <w:p w:rsidR="00C96F58" w:rsidRPr="00AD5BD3" w:rsidRDefault="00C96F58" w:rsidP="00C96F58">
            <w:r w:rsidRPr="00AD5BD3">
              <w:rPr>
                <w:b/>
              </w:rPr>
              <w:t xml:space="preserve">Hashish- </w:t>
            </w:r>
            <w:r w:rsidRPr="00AD5BD3">
              <w:t>resin from flowers and leaves; more potent than marijuana</w:t>
            </w:r>
          </w:p>
          <w:p w:rsidR="00C96F58" w:rsidRDefault="00C96F58" w:rsidP="00C96F58">
            <w:pPr>
              <w:rPr>
                <w:b/>
              </w:rPr>
            </w:pPr>
            <w:r>
              <w:rPr>
                <w:rFonts w:ascii="Verdana" w:hAnsi="Verdana" w:cs="Arial"/>
                <w:noProof/>
                <w:color w:val="3F3F3F"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2F349888" wp14:editId="0FCC66CF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-514350</wp:posOffset>
                  </wp:positionV>
                  <wp:extent cx="1440180" cy="1226820"/>
                  <wp:effectExtent l="0" t="0" r="7620" b="0"/>
                  <wp:wrapThrough wrapText="bothSides">
                    <wp:wrapPolygon edited="0">
                      <wp:start x="0" y="0"/>
                      <wp:lineTo x="0" y="21130"/>
                      <wp:lineTo x="21429" y="21130"/>
                      <wp:lineTo x="21429" y="0"/>
                      <wp:lineTo x="0" y="0"/>
                    </wp:wrapPolygon>
                  </wp:wrapThrough>
                  <wp:docPr id="1" name="Picture 1" descr="Cannabis In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nabis Ind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8500" r="5500" b="17000"/>
                          <a:stretch/>
                        </pic:blipFill>
                        <pic:spPr bwMode="auto">
                          <a:xfrm>
                            <a:off x="0" y="0"/>
                            <a:ext cx="14401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BD3">
              <w:t xml:space="preserve">Hash, hash oil, weed oil, weed juice, </w:t>
            </w:r>
            <w:r w:rsidR="002C3279" w:rsidRPr="00AD5BD3">
              <w:t>honey</w:t>
            </w:r>
            <w:r w:rsidRPr="00AD5BD3">
              <w:t xml:space="preserve"> oil, tea, black solids, grease, smoke, boom, chronic, gangster, hemp</w:t>
            </w:r>
            <w:r w:rsidRPr="00AD5BD3">
              <w:rPr>
                <w:vertAlign w:val="superscript"/>
              </w:rPr>
              <w:t>5</w:t>
            </w:r>
            <w:r>
              <w:rPr>
                <w:rFonts w:ascii="Verdana" w:hAnsi="Verdana" w:cs="Arial"/>
                <w:noProof/>
                <w:color w:val="3F3F3F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Characteristics</w:t>
            </w:r>
          </w:p>
          <w:p w:rsidR="00AD5BD3" w:rsidRPr="0099204E" w:rsidRDefault="00EF2D58" w:rsidP="00502605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color w:val="FFFFFF" w:themeColor="background1"/>
              </w:rPr>
              <w:t>(</w:t>
            </w:r>
            <w:r w:rsidR="00502605" w:rsidRPr="0099204E">
              <w:rPr>
                <w:rFonts w:ascii="Trebuchet MS" w:hAnsi="Trebuchet MS"/>
                <w:color w:val="FFFFFF" w:themeColor="background1"/>
              </w:rPr>
              <w:t>Hallucinogen)</w:t>
            </w:r>
          </w:p>
        </w:tc>
        <w:tc>
          <w:tcPr>
            <w:tcW w:w="8930" w:type="dxa"/>
          </w:tcPr>
          <w:p w:rsidR="000D3E4B" w:rsidRPr="00AD5BD3" w:rsidRDefault="000D3E4B" w:rsidP="000D3E4B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>Tetrahydrocannabinol (TCH) is the a</w:t>
            </w:r>
            <w:r w:rsidR="007B694D">
              <w:rPr>
                <w:rFonts w:cs="TradeGothic"/>
              </w:rPr>
              <w:t>ctive ingredient; 5-11% in marij</w:t>
            </w:r>
            <w:r w:rsidRPr="00AD5BD3">
              <w:rPr>
                <w:rFonts w:cs="TradeGothic"/>
              </w:rPr>
              <w:t>uana and up to 28% in hashish</w:t>
            </w:r>
            <w:r w:rsidRPr="00AD5BD3">
              <w:rPr>
                <w:rFonts w:cs="TradeGothic"/>
                <w:vertAlign w:val="superscript"/>
              </w:rPr>
              <w:t>5</w:t>
            </w:r>
          </w:p>
          <w:p w:rsidR="000D3E4B" w:rsidRPr="00AD5BD3" w:rsidRDefault="000D3E4B" w:rsidP="000D3E4B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>THC modulates release of neurotransmitters (including dopamine and glutamate) by interacting with specific cannabinoid receptors that ar</w:t>
            </w:r>
            <w:r w:rsidR="009970F9" w:rsidRPr="00AD5BD3">
              <w:rPr>
                <w:rFonts w:cs="TradeGothic"/>
              </w:rPr>
              <w:t>e distributed in brain regions</w:t>
            </w:r>
            <w:r w:rsidR="009970F9" w:rsidRPr="00AD5BD3">
              <w:rPr>
                <w:rFonts w:cs="TradeGothic"/>
                <w:vertAlign w:val="superscript"/>
              </w:rPr>
              <w:t>5</w:t>
            </w:r>
          </w:p>
          <w:p w:rsidR="000D3E4B" w:rsidRPr="00AD5BD3" w:rsidRDefault="000D3E4B" w:rsidP="000D3E4B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>Initial half-life is 1-2</w:t>
            </w:r>
            <w:r w:rsidR="007B694D">
              <w:rPr>
                <w:rFonts w:cs="TradeGothic"/>
              </w:rPr>
              <w:t xml:space="preserve"> </w:t>
            </w:r>
            <w:r w:rsidRPr="00AD5BD3">
              <w:rPr>
                <w:rFonts w:cs="TradeGothic"/>
              </w:rPr>
              <w:t>hours and elimination half-life is 24-36</w:t>
            </w:r>
            <w:r w:rsidR="007B694D">
              <w:rPr>
                <w:rFonts w:cs="TradeGothic"/>
              </w:rPr>
              <w:t xml:space="preserve"> </w:t>
            </w:r>
            <w:r w:rsidRPr="00AD5BD3">
              <w:rPr>
                <w:rFonts w:cs="TradeGothic"/>
              </w:rPr>
              <w:t>h</w:t>
            </w:r>
            <w:r w:rsidR="007B694D">
              <w:rPr>
                <w:rFonts w:cs="TradeGothic"/>
              </w:rPr>
              <w:t>ours</w:t>
            </w:r>
            <w:r w:rsidRPr="00AD5BD3">
              <w:rPr>
                <w:rFonts w:cs="TradeGothic"/>
              </w:rPr>
              <w:t>.</w:t>
            </w:r>
            <w:r w:rsidRPr="00AD5BD3">
              <w:rPr>
                <w:rFonts w:cs="TradeGothic"/>
                <w:vertAlign w:val="superscript"/>
              </w:rPr>
              <w:t>5</w:t>
            </w:r>
          </w:p>
          <w:p w:rsidR="000D3E4B" w:rsidRPr="00AD5BD3" w:rsidRDefault="000D3E4B" w:rsidP="000D3E4B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>Effects occur rapidly and last up to several hours; accumulates in fat tissue for up to four weeks before being released back into blood stream</w:t>
            </w:r>
            <w:r w:rsidR="009970F9" w:rsidRPr="00AD5BD3">
              <w:rPr>
                <w:rFonts w:cs="TradeGothic"/>
              </w:rPr>
              <w:t>; effects may persist</w:t>
            </w:r>
            <w:r w:rsidR="009970F9" w:rsidRPr="00AD5BD3">
              <w:rPr>
                <w:rFonts w:cs="TradeGothic"/>
                <w:vertAlign w:val="superscript"/>
              </w:rPr>
              <w:t>5</w:t>
            </w:r>
          </w:p>
          <w:p w:rsidR="000D3E4B" w:rsidRPr="00AD5BD3" w:rsidRDefault="0013197D" w:rsidP="0013197D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 xml:space="preserve">When smoking cannabis the effect is almost immediate and may last several hours, depending on </w:t>
            </w:r>
            <w:r w:rsidR="007B694D">
              <w:rPr>
                <w:rFonts w:cs="TradeGothic"/>
              </w:rPr>
              <w:t>amount consumed</w:t>
            </w:r>
            <w:r w:rsidRPr="00AD5BD3">
              <w:rPr>
                <w:rFonts w:cs="TradeGothic"/>
              </w:rPr>
              <w:t>. When it is swallowed, the effect is felt in about an hour, and lasts longer than when it is smoked.</w:t>
            </w:r>
            <w:r w:rsidRPr="00AD5BD3">
              <w:rPr>
                <w:rFonts w:cs="TradeGothic"/>
                <w:vertAlign w:val="superscript"/>
              </w:rPr>
              <w:t>4</w:t>
            </w:r>
          </w:p>
          <w:p w:rsidR="009A609D" w:rsidRPr="0099204E" w:rsidRDefault="0013197D" w:rsidP="00FF3CB5">
            <w:pPr>
              <w:pStyle w:val="ListParagraph"/>
              <w:numPr>
                <w:ilvl w:val="0"/>
                <w:numId w:val="10"/>
              </w:numPr>
              <w:rPr>
                <w:rFonts w:cs="TradeGothic"/>
              </w:rPr>
            </w:pPr>
            <w:r w:rsidRPr="00AD5BD3">
              <w:rPr>
                <w:rFonts w:cs="TradeGothic"/>
              </w:rPr>
              <w:t>THC is stored in fat cells and expelled from the body over a period of days or weeks, depending on the frequency of use and the amount used.</w:t>
            </w:r>
            <w:r w:rsidRPr="00AD5BD3">
              <w:rPr>
                <w:rFonts w:cs="TradeGothic"/>
                <w:vertAlign w:val="superscript"/>
              </w:rPr>
              <w:t>4</w:t>
            </w:r>
          </w:p>
          <w:p w:rsidR="0099204E" w:rsidRPr="00AD5BD3" w:rsidRDefault="0099204E" w:rsidP="0099204E">
            <w:pPr>
              <w:pStyle w:val="ListParagraph"/>
              <w:rPr>
                <w:rFonts w:cs="TradeGothic"/>
              </w:rPr>
            </w:pP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4E6280" w:rsidRDefault="004E6280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 xml:space="preserve">Presentation during </w:t>
            </w:r>
            <w:r w:rsidR="00FD6628" w:rsidRPr="0099204E">
              <w:rPr>
                <w:rFonts w:ascii="Trebuchet MS" w:hAnsi="Trebuchet MS"/>
                <w:b/>
                <w:color w:val="FFFFFF" w:themeColor="background1"/>
              </w:rPr>
              <w:t>intoxication</w:t>
            </w:r>
          </w:p>
        </w:tc>
        <w:tc>
          <w:tcPr>
            <w:tcW w:w="8930" w:type="dxa"/>
          </w:tcPr>
          <w:p w:rsidR="006A7E02" w:rsidRPr="006A7E02" w:rsidRDefault="00D2728D">
            <w:pPr>
              <w:rPr>
                <w:b/>
              </w:rPr>
            </w:pPr>
            <w:r>
              <w:rPr>
                <w:b/>
              </w:rPr>
              <w:t>Common Signs and Symptoms of intoxication can include</w:t>
            </w:r>
            <w:r w:rsidR="006A7E02" w:rsidRPr="006A7E02">
              <w:rPr>
                <w:b/>
                <w:vertAlign w:val="superscript"/>
              </w:rPr>
              <w:t>2,3</w:t>
            </w:r>
            <w:r w:rsidR="006A7E02" w:rsidRPr="006A7E02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68"/>
              <w:gridCol w:w="2758"/>
            </w:tblGrid>
            <w:tr w:rsidR="000C6CA8" w:rsidTr="005C6DDC">
              <w:tc>
                <w:tcPr>
                  <w:tcW w:w="3148" w:type="dxa"/>
                </w:tcPr>
                <w:p w:rsidR="000C6CA8" w:rsidRDefault="000C6CA8" w:rsidP="00A93FD3">
                  <w:pPr>
                    <w:ind w:left="360"/>
                  </w:pPr>
                  <w:r>
                    <w:t>Relaxation</w:t>
                  </w:r>
                </w:p>
              </w:tc>
              <w:tc>
                <w:tcPr>
                  <w:tcW w:w="2368" w:type="dxa"/>
                </w:tcPr>
                <w:p w:rsidR="000C6CA8" w:rsidRDefault="000C6CA8" w:rsidP="00A93FD3">
                  <w:pPr>
                    <w:ind w:left="360"/>
                  </w:pPr>
                  <w:r>
                    <w:t>Talkativeness</w:t>
                  </w:r>
                </w:p>
              </w:tc>
              <w:tc>
                <w:tcPr>
                  <w:tcW w:w="2758" w:type="dxa"/>
                </w:tcPr>
                <w:p w:rsidR="000C6CA8" w:rsidRDefault="000C6CA8" w:rsidP="00A93FD3">
                  <w:pPr>
                    <w:ind w:left="360"/>
                  </w:pPr>
                  <w:r>
                    <w:t>Mood swings</w:t>
                  </w:r>
                </w:p>
              </w:tc>
            </w:tr>
            <w:tr w:rsidR="000C6CA8" w:rsidTr="005C6DDC">
              <w:tc>
                <w:tcPr>
                  <w:tcW w:w="3148" w:type="dxa"/>
                </w:tcPr>
                <w:p w:rsidR="000C6CA8" w:rsidRDefault="000C6CA8" w:rsidP="00A93FD3">
                  <w:pPr>
                    <w:ind w:left="360"/>
                  </w:pPr>
                  <w:r>
                    <w:t>Tachycardia</w:t>
                  </w:r>
                </w:p>
              </w:tc>
              <w:tc>
                <w:tcPr>
                  <w:tcW w:w="2368" w:type="dxa"/>
                </w:tcPr>
                <w:p w:rsidR="000C6CA8" w:rsidRDefault="000C6CA8" w:rsidP="00A93FD3">
                  <w:pPr>
                    <w:ind w:left="360"/>
                  </w:pPr>
                  <w:r>
                    <w:t>Euphoria</w:t>
                  </w:r>
                </w:p>
              </w:tc>
              <w:tc>
                <w:tcPr>
                  <w:tcW w:w="2758" w:type="dxa"/>
                </w:tcPr>
                <w:p w:rsidR="000C6CA8" w:rsidRDefault="000C6CA8" w:rsidP="00A93FD3">
                  <w:pPr>
                    <w:ind w:left="360"/>
                  </w:pPr>
                  <w:r>
                    <w:t>Coughing</w:t>
                  </w:r>
                </w:p>
              </w:tc>
            </w:tr>
            <w:tr w:rsidR="000C6CA8" w:rsidTr="005C6DDC">
              <w:tc>
                <w:tcPr>
                  <w:tcW w:w="3148" w:type="dxa"/>
                </w:tcPr>
                <w:p w:rsidR="000C6CA8" w:rsidRDefault="000C6CA8" w:rsidP="00A93FD3">
                  <w:pPr>
                    <w:ind w:left="360"/>
                  </w:pPr>
                  <w:r>
                    <w:t>Decreased blood pressure</w:t>
                  </w:r>
                </w:p>
              </w:tc>
              <w:tc>
                <w:tcPr>
                  <w:tcW w:w="2368" w:type="dxa"/>
                </w:tcPr>
                <w:p w:rsidR="000C6CA8" w:rsidRDefault="000C6CA8" w:rsidP="00A93FD3">
                  <w:pPr>
                    <w:ind w:left="360"/>
                  </w:pPr>
                  <w:r>
                    <w:t>Increased appetite</w:t>
                  </w:r>
                </w:p>
              </w:tc>
              <w:tc>
                <w:tcPr>
                  <w:tcW w:w="2758" w:type="dxa"/>
                </w:tcPr>
                <w:p w:rsidR="000C6CA8" w:rsidRDefault="000C6CA8" w:rsidP="00A93FD3">
                  <w:pPr>
                    <w:ind w:left="360"/>
                  </w:pPr>
                  <w:r>
                    <w:t>Decreased Inhibitions</w:t>
                  </w:r>
                </w:p>
              </w:tc>
            </w:tr>
            <w:tr w:rsidR="000C6CA8" w:rsidTr="005C6DDC">
              <w:tc>
                <w:tcPr>
                  <w:tcW w:w="3148" w:type="dxa"/>
                </w:tcPr>
                <w:p w:rsidR="000C6CA8" w:rsidRDefault="000C6CA8" w:rsidP="00A93FD3">
                  <w:pPr>
                    <w:ind w:left="360"/>
                  </w:pPr>
                  <w:r>
                    <w:t>Blood shot eyes</w:t>
                  </w:r>
                </w:p>
              </w:tc>
              <w:tc>
                <w:tcPr>
                  <w:tcW w:w="2368" w:type="dxa"/>
                </w:tcPr>
                <w:p w:rsidR="000C6CA8" w:rsidRDefault="000C6CA8" w:rsidP="00A93FD3">
                  <w:pPr>
                    <w:pStyle w:val="ListParagraph"/>
                  </w:pPr>
                </w:p>
              </w:tc>
              <w:tc>
                <w:tcPr>
                  <w:tcW w:w="2758" w:type="dxa"/>
                </w:tcPr>
                <w:p w:rsidR="000C6CA8" w:rsidRDefault="000C6CA8" w:rsidP="00A93FD3">
                  <w:pPr>
                    <w:pStyle w:val="ListParagraph"/>
                  </w:pPr>
                </w:p>
              </w:tc>
            </w:tr>
          </w:tbl>
          <w:p w:rsidR="000C6CA8" w:rsidRDefault="00D2728D" w:rsidP="000C6CA8">
            <w:r>
              <w:rPr>
                <w:b/>
              </w:rPr>
              <w:t>Extreme intoxication signs and symptoms may include</w:t>
            </w:r>
            <w:r w:rsidR="000C6CA8" w:rsidRPr="00295C71">
              <w:rPr>
                <w:b/>
                <w:vertAlign w:val="superscript"/>
              </w:rPr>
              <w:t>3</w:t>
            </w:r>
            <w:r w:rsidR="000C6CA8"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0C6CA8" w:rsidTr="001A56CE">
              <w:tc>
                <w:tcPr>
                  <w:tcW w:w="2758" w:type="dxa"/>
                </w:tcPr>
                <w:p w:rsidR="000C6CA8" w:rsidRDefault="001A56CE" w:rsidP="00D2728D">
                  <w:pPr>
                    <w:ind w:left="360"/>
                  </w:pPr>
                  <w:r>
                    <w:t>Fatigue</w:t>
                  </w:r>
                </w:p>
              </w:tc>
              <w:tc>
                <w:tcPr>
                  <w:tcW w:w="2758" w:type="dxa"/>
                </w:tcPr>
                <w:p w:rsidR="000C6CA8" w:rsidRDefault="001A56CE" w:rsidP="00D2728D">
                  <w:pPr>
                    <w:ind w:left="360"/>
                  </w:pPr>
                  <w:r>
                    <w:t>Paranoia</w:t>
                  </w:r>
                </w:p>
              </w:tc>
              <w:tc>
                <w:tcPr>
                  <w:tcW w:w="2758" w:type="dxa"/>
                </w:tcPr>
                <w:p w:rsidR="000C6CA8" w:rsidRDefault="001A56CE" w:rsidP="00D2728D">
                  <w:pPr>
                    <w:ind w:left="360"/>
                  </w:pPr>
                  <w:r>
                    <w:t>Delusions</w:t>
                  </w:r>
                </w:p>
              </w:tc>
            </w:tr>
            <w:tr w:rsidR="000C6CA8" w:rsidTr="001A56CE">
              <w:tc>
                <w:tcPr>
                  <w:tcW w:w="2758" w:type="dxa"/>
                </w:tcPr>
                <w:p w:rsidR="000C6CA8" w:rsidRDefault="001A56CE" w:rsidP="00D2728D">
                  <w:pPr>
                    <w:ind w:left="360"/>
                  </w:pPr>
                  <w:r>
                    <w:t>Hallucinations</w:t>
                  </w:r>
                </w:p>
                <w:p w:rsidR="00073CF6" w:rsidRDefault="00073CF6" w:rsidP="00D2728D">
                  <w:pPr>
                    <w:ind w:left="360"/>
                  </w:pPr>
                </w:p>
              </w:tc>
              <w:tc>
                <w:tcPr>
                  <w:tcW w:w="2758" w:type="dxa"/>
                </w:tcPr>
                <w:p w:rsidR="000C6CA8" w:rsidRDefault="000C6CA8" w:rsidP="00D2728D">
                  <w:pPr>
                    <w:pStyle w:val="ListParagraph"/>
                  </w:pPr>
                </w:p>
              </w:tc>
              <w:tc>
                <w:tcPr>
                  <w:tcW w:w="2758" w:type="dxa"/>
                </w:tcPr>
                <w:p w:rsidR="000C6CA8" w:rsidRDefault="000C6CA8" w:rsidP="00D2728D">
                  <w:pPr>
                    <w:pStyle w:val="ListParagraph"/>
                  </w:pPr>
                </w:p>
              </w:tc>
            </w:tr>
          </w:tbl>
          <w:p w:rsidR="00BC2762" w:rsidRPr="00AD5BD3" w:rsidRDefault="00BC2762" w:rsidP="001A56CE"/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Monitoring and support during intoxication</w:t>
            </w:r>
          </w:p>
        </w:tc>
        <w:tc>
          <w:tcPr>
            <w:tcW w:w="8930" w:type="dxa"/>
          </w:tcPr>
          <w:p w:rsidR="0025150A" w:rsidRPr="0025150A" w:rsidRDefault="0025150A" w:rsidP="0025150A">
            <w:pPr>
              <w:rPr>
                <w:b/>
              </w:rPr>
            </w:pPr>
            <w:r w:rsidRPr="0025150A">
              <w:rPr>
                <w:b/>
              </w:rPr>
              <w:t>Monitor</w:t>
            </w:r>
            <w:r w:rsidRPr="0025150A">
              <w:rPr>
                <w:b/>
                <w:vertAlign w:val="superscript"/>
              </w:rPr>
              <w:t>10</w:t>
            </w:r>
          </w:p>
          <w:p w:rsidR="009A609D" w:rsidRDefault="00E23042" w:rsidP="00E23042">
            <w:pPr>
              <w:pStyle w:val="ListParagraph"/>
              <w:numPr>
                <w:ilvl w:val="0"/>
                <w:numId w:val="12"/>
              </w:numPr>
            </w:pPr>
            <w:r w:rsidRPr="00AD5BD3">
              <w:t>Monitor vital signs</w:t>
            </w:r>
          </w:p>
          <w:p w:rsidR="00FD6628" w:rsidRDefault="00FD6628" w:rsidP="00E23042">
            <w:pPr>
              <w:pStyle w:val="ListParagraph"/>
              <w:numPr>
                <w:ilvl w:val="0"/>
                <w:numId w:val="12"/>
              </w:numPr>
            </w:pPr>
            <w:r>
              <w:t>Monitor mental status</w:t>
            </w:r>
          </w:p>
          <w:p w:rsidR="0025150A" w:rsidRPr="0025150A" w:rsidRDefault="0025150A" w:rsidP="0025150A">
            <w:pPr>
              <w:rPr>
                <w:b/>
              </w:rPr>
            </w:pPr>
            <w:r w:rsidRPr="0025150A">
              <w:rPr>
                <w:b/>
              </w:rPr>
              <w:t>Supportive Interventions</w:t>
            </w:r>
            <w:r w:rsidRPr="0025150A">
              <w:rPr>
                <w:b/>
                <w:vertAlign w:val="superscript"/>
              </w:rPr>
              <w:t>10</w:t>
            </w:r>
          </w:p>
          <w:p w:rsidR="00E23042" w:rsidRPr="00AD5BD3" w:rsidRDefault="00E23042" w:rsidP="00E23042">
            <w:pPr>
              <w:pStyle w:val="ListParagraph"/>
              <w:numPr>
                <w:ilvl w:val="0"/>
                <w:numId w:val="12"/>
              </w:numPr>
            </w:pPr>
            <w:r w:rsidRPr="00AD5BD3">
              <w:t>Provide supportive care and reassurance</w:t>
            </w: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1A56CE" w:rsidRPr="0099204E" w:rsidRDefault="001A56C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1A56CE" w:rsidRPr="0099204E" w:rsidRDefault="001A56C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  <w:vertAlign w:val="superscript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Withdrawal presentation</w:t>
            </w:r>
            <w:r w:rsidR="001A56CE" w:rsidRPr="0099204E">
              <w:rPr>
                <w:rFonts w:ascii="Trebuchet MS" w:hAnsi="Trebuchet MS"/>
                <w:b/>
                <w:color w:val="FFFFFF" w:themeColor="background1"/>
                <w:vertAlign w:val="superscript"/>
              </w:rPr>
              <w:t>4</w:t>
            </w:r>
          </w:p>
          <w:p w:rsidR="008C02CD" w:rsidRPr="0099204E" w:rsidRDefault="008C02C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  <w:vertAlign w:val="superscript"/>
              </w:rPr>
              <w:t>(usually last a week or two)</w:t>
            </w:r>
          </w:p>
          <w:p w:rsidR="00D71CC0" w:rsidRPr="0099204E" w:rsidRDefault="00D71CC0" w:rsidP="00EF2D58">
            <w:pPr>
              <w:jc w:val="center"/>
              <w:rPr>
                <w:rFonts w:ascii="Trebuchet MS" w:hAnsi="Trebuchet MS"/>
                <w:i/>
                <w:color w:val="FFFFFF" w:themeColor="background1"/>
              </w:rPr>
            </w:pPr>
          </w:p>
        </w:tc>
        <w:tc>
          <w:tcPr>
            <w:tcW w:w="8930" w:type="dxa"/>
          </w:tcPr>
          <w:p w:rsidR="00295C71" w:rsidRPr="008C02CD" w:rsidRDefault="008C02CD">
            <w:pPr>
              <w:rPr>
                <w:b/>
              </w:rPr>
            </w:pPr>
            <w:r w:rsidRPr="008C02CD">
              <w:rPr>
                <w:b/>
              </w:rPr>
              <w:t>Symptoms may include</w:t>
            </w:r>
            <w:r w:rsidRPr="008C02CD">
              <w:rPr>
                <w:b/>
                <w:vertAlign w:val="superscript"/>
              </w:rPr>
              <w:t>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1A56CE" w:rsidTr="001A56CE"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Restlessness</w:t>
                  </w:r>
                </w:p>
              </w:tc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Irritability</w:t>
                  </w:r>
                </w:p>
              </w:tc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Sleep difficulties</w:t>
                  </w:r>
                </w:p>
              </w:tc>
            </w:tr>
            <w:tr w:rsidR="001A56CE" w:rsidTr="001A56CE"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Decreased appetite</w:t>
                  </w:r>
                </w:p>
              </w:tc>
              <w:tc>
                <w:tcPr>
                  <w:tcW w:w="2758" w:type="dxa"/>
                </w:tcPr>
                <w:p w:rsidR="001A56CE" w:rsidRDefault="004E6280" w:rsidP="008C02CD">
                  <w:pPr>
                    <w:ind w:left="360"/>
                  </w:pPr>
                  <w:r>
                    <w:t>Night sweats</w:t>
                  </w:r>
                </w:p>
              </w:tc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Vivid dreams</w:t>
                  </w:r>
                </w:p>
              </w:tc>
            </w:tr>
            <w:tr w:rsidR="001A56CE" w:rsidTr="001A56CE"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GI Distress</w:t>
                  </w:r>
                </w:p>
              </w:tc>
              <w:tc>
                <w:tcPr>
                  <w:tcW w:w="2758" w:type="dxa"/>
                </w:tcPr>
                <w:p w:rsidR="004E6280" w:rsidRDefault="004E6280" w:rsidP="008C02CD">
                  <w:pPr>
                    <w:ind w:left="360"/>
                  </w:pPr>
                  <w:r>
                    <w:t>Anxiety and general fear</w:t>
                  </w:r>
                </w:p>
              </w:tc>
              <w:tc>
                <w:tcPr>
                  <w:tcW w:w="2758" w:type="dxa"/>
                </w:tcPr>
                <w:p w:rsidR="001A56CE" w:rsidRDefault="001A56CE" w:rsidP="008C02CD">
                  <w:pPr>
                    <w:ind w:left="360"/>
                  </w:pPr>
                  <w:r>
                    <w:t>Tremor</w:t>
                  </w:r>
                </w:p>
              </w:tc>
            </w:tr>
          </w:tbl>
          <w:p w:rsidR="00E23042" w:rsidRPr="00AD5BD3" w:rsidRDefault="001A56CE" w:rsidP="004E6280">
            <w:pPr>
              <w:pStyle w:val="ListParagraph"/>
              <w:numPr>
                <w:ilvl w:val="0"/>
                <w:numId w:val="17"/>
              </w:numPr>
            </w:pPr>
            <w:r w:rsidRPr="004E6280">
              <w:rPr>
                <w:color w:val="000000" w:themeColor="text1"/>
              </w:rPr>
              <w:t xml:space="preserve">The symptoms are usually relatively mild and last a week or two. They do not require more than short-term symptomatic management. </w:t>
            </w:r>
            <w:r w:rsidRPr="004E6280">
              <w:rPr>
                <w:color w:val="000000" w:themeColor="text1"/>
                <w:vertAlign w:val="superscript"/>
              </w:rPr>
              <w:t>7</w:t>
            </w: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Monitoring and support during withdrawal</w:t>
            </w:r>
          </w:p>
        </w:tc>
        <w:tc>
          <w:tcPr>
            <w:tcW w:w="8930" w:type="dxa"/>
          </w:tcPr>
          <w:p w:rsidR="008C02CD" w:rsidRPr="008C02CD" w:rsidRDefault="008C02CD" w:rsidP="008C02CD">
            <w:pPr>
              <w:rPr>
                <w:b/>
              </w:rPr>
            </w:pPr>
            <w:r w:rsidRPr="008C02CD">
              <w:rPr>
                <w:b/>
              </w:rPr>
              <w:t>Monitor</w:t>
            </w:r>
          </w:p>
          <w:p w:rsidR="009A609D" w:rsidRPr="008C02CD" w:rsidRDefault="005B6359" w:rsidP="008C02CD">
            <w:pPr>
              <w:pStyle w:val="ListParagraph"/>
              <w:numPr>
                <w:ilvl w:val="0"/>
                <w:numId w:val="12"/>
              </w:numPr>
            </w:pPr>
            <w:r w:rsidRPr="00AD5BD3">
              <w:t xml:space="preserve">Monitor for symptoms of withdrawal and potential </w:t>
            </w:r>
            <w:r w:rsidR="0033228D" w:rsidRPr="00AD5BD3">
              <w:t>complications (</w:t>
            </w:r>
            <w:proofErr w:type="spellStart"/>
            <w:r w:rsidR="0033228D" w:rsidRPr="00AD5BD3">
              <w:t>i.e</w:t>
            </w:r>
            <w:proofErr w:type="spellEnd"/>
            <w:r w:rsidR="0033228D" w:rsidRPr="00AD5BD3">
              <w:t xml:space="preserve"> anxiety)</w:t>
            </w:r>
            <w:r w:rsidR="00D71CC0" w:rsidRPr="00AD5BD3">
              <w:t xml:space="preserve"> </w:t>
            </w:r>
            <w:r w:rsidR="0033228D" w:rsidRPr="008C02CD">
              <w:rPr>
                <w:vertAlign w:val="superscript"/>
              </w:rPr>
              <w:t>4</w:t>
            </w:r>
            <w:r w:rsidR="00D71CC0" w:rsidRPr="008C02CD">
              <w:rPr>
                <w:vertAlign w:val="superscript"/>
              </w:rPr>
              <w:t>,7</w:t>
            </w:r>
          </w:p>
          <w:p w:rsidR="008C02CD" w:rsidRPr="008C02CD" w:rsidRDefault="008C02CD" w:rsidP="008C02CD">
            <w:pPr>
              <w:rPr>
                <w:b/>
              </w:rPr>
            </w:pPr>
            <w:r w:rsidRPr="008C02CD">
              <w:rPr>
                <w:b/>
              </w:rPr>
              <w:t xml:space="preserve">Support </w:t>
            </w:r>
            <w:r w:rsidRPr="008C02CD">
              <w:rPr>
                <w:b/>
                <w:vertAlign w:val="superscript"/>
              </w:rPr>
              <w:t>10</w:t>
            </w:r>
          </w:p>
          <w:p w:rsidR="009A609D" w:rsidRPr="00AD5BD3" w:rsidRDefault="0033228D" w:rsidP="00073CF6">
            <w:pPr>
              <w:pStyle w:val="ListParagraph"/>
              <w:numPr>
                <w:ilvl w:val="0"/>
                <w:numId w:val="13"/>
              </w:numPr>
            </w:pPr>
            <w:r w:rsidRPr="00AD5BD3">
              <w:t>Provide supportive care, and ensure a calming environment</w:t>
            </w: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Potential Complications</w:t>
            </w:r>
          </w:p>
        </w:tc>
        <w:tc>
          <w:tcPr>
            <w:tcW w:w="8930" w:type="dxa"/>
          </w:tcPr>
          <w:p w:rsidR="008C02CD" w:rsidRPr="008C02CD" w:rsidRDefault="008C02CD" w:rsidP="008C02CD">
            <w:pPr>
              <w:rPr>
                <w:b/>
              </w:rPr>
            </w:pPr>
            <w:r>
              <w:rPr>
                <w:b/>
              </w:rPr>
              <w:t>May include</w:t>
            </w:r>
            <w:r w:rsidR="00502ADC" w:rsidRPr="00502ADC">
              <w:rPr>
                <w:b/>
                <w:vertAlign w:val="superscript"/>
              </w:rPr>
              <w:t>5</w:t>
            </w:r>
            <w:r>
              <w:rPr>
                <w:b/>
              </w:rPr>
              <w:t>:</w:t>
            </w:r>
          </w:p>
          <w:p w:rsidR="00073CF6" w:rsidRPr="00AD5BD3" w:rsidRDefault="000D3E4B" w:rsidP="00E35735">
            <w:pPr>
              <w:pStyle w:val="ListParagraph"/>
              <w:numPr>
                <w:ilvl w:val="0"/>
                <w:numId w:val="13"/>
              </w:numPr>
            </w:pPr>
            <w:r w:rsidRPr="00AD5BD3">
              <w:t>Chronic use may lead to bronchitis, weight gain, bloodshot eyes, loss of energy, apathy</w:t>
            </w:r>
            <w:r w:rsidR="009970F9" w:rsidRPr="00AD5BD3">
              <w:t>, “fuzzy” thinking, slow reaction time, impaired ju</w:t>
            </w:r>
            <w:r w:rsidR="009E467F" w:rsidRPr="00AD5BD3">
              <w:t>d</w:t>
            </w:r>
            <w:r w:rsidR="009970F9" w:rsidRPr="00AD5BD3">
              <w:t>gment, decreased testosterone in males; increased risk of depression, anxiety, and schizophrenia</w:t>
            </w:r>
          </w:p>
        </w:tc>
      </w:tr>
      <w:tr w:rsidR="00AD5BD3" w:rsidRPr="00AD5BD3" w:rsidTr="008C02CD">
        <w:tc>
          <w:tcPr>
            <w:tcW w:w="1951" w:type="dxa"/>
            <w:shd w:val="clear" w:color="auto" w:fill="244061" w:themeFill="accent1" w:themeFillShade="80"/>
          </w:tcPr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FF4185" w:rsidRDefault="00FF4185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9204E" w:rsidRPr="0099204E" w:rsidRDefault="0099204E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A7754F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 xml:space="preserve">Notable </w:t>
            </w:r>
            <w:r w:rsidR="009A609D" w:rsidRPr="0099204E">
              <w:rPr>
                <w:rFonts w:ascii="Trebuchet MS" w:hAnsi="Trebuchet MS"/>
                <w:b/>
                <w:color w:val="FFFFFF" w:themeColor="background1"/>
              </w:rPr>
              <w:t xml:space="preserve">Drug </w:t>
            </w:r>
            <w:r w:rsidRPr="0099204E">
              <w:rPr>
                <w:rFonts w:ascii="Trebuchet MS" w:hAnsi="Trebuchet MS"/>
                <w:b/>
                <w:color w:val="FFFFFF" w:themeColor="background1"/>
              </w:rPr>
              <w:t>I</w:t>
            </w:r>
            <w:r w:rsidR="009A609D" w:rsidRPr="0099204E">
              <w:rPr>
                <w:rFonts w:ascii="Trebuchet MS" w:hAnsi="Trebuchet MS"/>
                <w:b/>
                <w:color w:val="FFFFFF" w:themeColor="background1"/>
              </w:rPr>
              <w:t>nteractions</w:t>
            </w:r>
          </w:p>
          <w:p w:rsidR="00FF4185" w:rsidRPr="0099204E" w:rsidRDefault="00FF4185" w:rsidP="00EF2D58">
            <w:pPr>
              <w:jc w:val="center"/>
              <w:rPr>
                <w:rFonts w:ascii="Trebuchet MS" w:hAnsi="Trebuchet MS"/>
                <w:i/>
                <w:color w:val="FFFFFF" w:themeColor="background1"/>
              </w:rPr>
            </w:pPr>
          </w:p>
        </w:tc>
        <w:tc>
          <w:tcPr>
            <w:tcW w:w="89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4E6280" w:rsidTr="004E6280">
              <w:tc>
                <w:tcPr>
                  <w:tcW w:w="4137" w:type="dxa"/>
                </w:tcPr>
                <w:p w:rsidR="004E6280" w:rsidRPr="00D912D3" w:rsidRDefault="004E6280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>With antidepressants</w:t>
                  </w:r>
                  <w:r w:rsidR="0069271B" w:rsidRPr="00D912D3">
                    <w:rPr>
                      <w:b/>
                      <w:vertAlign w:val="superscript"/>
                    </w:rPr>
                    <w:t>8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D5BD3">
                    <w:t xml:space="preserve">With tricyclic antidepressants, tachycardia, light-headedness, mood lability, </w:t>
                  </w:r>
                  <w:r>
                    <w:t>and delirium have been reported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D5BD3">
                    <w:t>Cardiac complications have been repor</w:t>
                  </w:r>
                  <w:r>
                    <w:t>ted in children and adolescents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D5BD3">
                    <w:t>Cannabis increases serotonin levels which may</w:t>
                  </w:r>
                  <w:r>
                    <w:t xml:space="preserve"> result in a serotonin syndrome</w:t>
                  </w:r>
                </w:p>
                <w:p w:rsidR="004E6280" w:rsidRPr="00D912D3" w:rsidRDefault="004E6280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>With antipsychotics</w:t>
                  </w:r>
                  <w:r w:rsidR="0069271B" w:rsidRPr="00D912D3">
                    <w:rPr>
                      <w:b/>
                      <w:vertAlign w:val="superscript"/>
                    </w:rPr>
                    <w:t>8</w:t>
                  </w:r>
                  <w:r w:rsidRPr="00D912D3">
                    <w:rPr>
                      <w:b/>
                    </w:rPr>
                    <w:t xml:space="preserve"> </w:t>
                  </w:r>
                </w:p>
                <w:p w:rsidR="004E6280" w:rsidRDefault="004E6280" w:rsidP="004660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D5BD3">
                    <w:t>Drugs with anticholinergic properties can cause marked hypotensi</w:t>
                  </w:r>
                  <w:r>
                    <w:t>on and increased disorientation</w:t>
                  </w:r>
                </w:p>
              </w:tc>
              <w:tc>
                <w:tcPr>
                  <w:tcW w:w="4137" w:type="dxa"/>
                </w:tcPr>
                <w:p w:rsidR="004E6280" w:rsidRPr="00D912D3" w:rsidRDefault="004E6280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>With Lithium</w:t>
                  </w:r>
                  <w:r w:rsidR="0069271B" w:rsidRPr="00D912D3">
                    <w:rPr>
                      <w:b/>
                      <w:vertAlign w:val="superscript"/>
                    </w:rPr>
                    <w:t>8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D5BD3">
                    <w:t>Clearance of lithium may be decreased with cannabis use.</w:t>
                  </w:r>
                </w:p>
                <w:p w:rsidR="004E6280" w:rsidRPr="00D912D3" w:rsidRDefault="004E6280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 xml:space="preserve">With Alcohol </w:t>
                  </w:r>
                  <w:r w:rsidR="0069271B" w:rsidRPr="00D912D3">
                    <w:rPr>
                      <w:b/>
                      <w:vertAlign w:val="superscript"/>
                    </w:rPr>
                    <w:t>9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AD5BD3">
                    <w:t>Inten</w:t>
                  </w:r>
                  <w:r>
                    <w:t xml:space="preserve">sifies each other’s effects and </w:t>
                  </w:r>
                  <w:r w:rsidRPr="00AD5BD3">
                    <w:t>can cause severe impairment.</w:t>
                  </w:r>
                </w:p>
                <w:p w:rsidR="004E6280" w:rsidRPr="00D912D3" w:rsidRDefault="004E6280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>With Opioid</w:t>
                  </w:r>
                  <w:r w:rsidR="0069271B" w:rsidRPr="00D912D3">
                    <w:rPr>
                      <w:b/>
                      <w:vertAlign w:val="superscript"/>
                    </w:rPr>
                    <w:t>8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D5BD3">
                    <w:t>THC blocks excitation produced by morphine</w:t>
                  </w:r>
                </w:p>
                <w:p w:rsidR="004E6280" w:rsidRPr="00D912D3" w:rsidRDefault="00460F54" w:rsidP="004E6280">
                  <w:pPr>
                    <w:rPr>
                      <w:b/>
                    </w:rPr>
                  </w:pPr>
                  <w:r w:rsidRPr="00D912D3">
                    <w:rPr>
                      <w:b/>
                    </w:rPr>
                    <w:t>With Stimulant</w:t>
                  </w:r>
                  <w:r w:rsidR="0069271B" w:rsidRPr="00D912D3">
                    <w:rPr>
                      <w:b/>
                      <w:vertAlign w:val="superscript"/>
                    </w:rPr>
                    <w:t>8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D5BD3">
                    <w:t>Increased heart rate</w:t>
                  </w:r>
                </w:p>
                <w:p w:rsidR="004E6280" w:rsidRPr="00AD5BD3" w:rsidRDefault="004E6280" w:rsidP="004E628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D5BD3">
                    <w:t xml:space="preserve">Blood </w:t>
                  </w:r>
                  <w:bookmarkStart w:id="0" w:name="_GoBack"/>
                  <w:bookmarkEnd w:id="0"/>
                  <w:r w:rsidRPr="00AD5BD3">
                    <w:t>pressure increased with high doses of both drugs</w:t>
                  </w:r>
                </w:p>
                <w:p w:rsidR="004E6280" w:rsidRDefault="004E6280" w:rsidP="004E628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D5BD3">
                    <w:t>Increased plasma level of cocaine</w:t>
                  </w:r>
                  <w:r>
                    <w:t xml:space="preserve"> </w:t>
                  </w:r>
                  <w:r w:rsidRPr="00AD5BD3">
                    <w:t>euphoria</w:t>
                  </w:r>
                </w:p>
              </w:tc>
            </w:tr>
          </w:tbl>
          <w:p w:rsidR="00FA4860" w:rsidRPr="00AD5BD3" w:rsidRDefault="00FA4860" w:rsidP="004E6280"/>
        </w:tc>
      </w:tr>
      <w:tr w:rsidR="009A609D" w:rsidRPr="00AD5BD3" w:rsidTr="008C02CD">
        <w:trPr>
          <w:trHeight w:val="375"/>
        </w:trPr>
        <w:tc>
          <w:tcPr>
            <w:tcW w:w="1951" w:type="dxa"/>
            <w:shd w:val="clear" w:color="auto" w:fill="244061" w:themeFill="accent1" w:themeFillShade="80"/>
          </w:tcPr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EF2D58" w:rsidRPr="0099204E" w:rsidRDefault="00EF2D58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:rsidR="009A609D" w:rsidRPr="0099204E" w:rsidRDefault="009A609D" w:rsidP="00EF2D5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99204E">
              <w:rPr>
                <w:rFonts w:ascii="Trebuchet MS" w:hAnsi="Trebuchet MS"/>
                <w:b/>
                <w:color w:val="FFFFFF" w:themeColor="background1"/>
              </w:rPr>
              <w:t>Psychiatric effects</w:t>
            </w:r>
          </w:p>
        </w:tc>
        <w:tc>
          <w:tcPr>
            <w:tcW w:w="8930" w:type="dxa"/>
          </w:tcPr>
          <w:p w:rsidR="00466047" w:rsidRPr="00AD5BD3" w:rsidRDefault="00252268" w:rsidP="00252268">
            <w:pPr>
              <w:pStyle w:val="ListParagraph"/>
              <w:numPr>
                <w:ilvl w:val="0"/>
                <w:numId w:val="1"/>
              </w:numPr>
            </w:pPr>
            <w:r w:rsidRPr="00AD5BD3">
              <w:t>Cannabis can exacerbate depression, impair cognitive functioning, induce psychosis, trigger schizophrenia in individuals who are predisposed, and worsen symptom contro</w:t>
            </w:r>
            <w:r w:rsidR="00466047" w:rsidRPr="00AD5BD3">
              <w:t>l in people with schizophrenia</w:t>
            </w:r>
            <w:r w:rsidR="003614D5">
              <w:t>.</w:t>
            </w:r>
            <w:r w:rsidR="00466047" w:rsidRPr="00AD5BD3">
              <w:rPr>
                <w:vertAlign w:val="superscript"/>
              </w:rPr>
              <w:t>1</w:t>
            </w:r>
          </w:p>
          <w:p w:rsidR="00466047" w:rsidRPr="00AD5BD3" w:rsidRDefault="00466047" w:rsidP="00252268">
            <w:pPr>
              <w:pStyle w:val="ListParagraph"/>
              <w:numPr>
                <w:ilvl w:val="0"/>
                <w:numId w:val="1"/>
              </w:numPr>
            </w:pPr>
            <w:r w:rsidRPr="00AD5BD3">
              <w:t>Cohort studies suggest that chronic use of cannabis by teenagers is associated with &gt;5-fold increase in risk of later-life depression and anxiety as well as an increased risk of early-onset psychosis</w:t>
            </w:r>
            <w:r w:rsidR="003614D5">
              <w:t>.</w:t>
            </w:r>
            <w:r w:rsidRPr="00AD5BD3">
              <w:rPr>
                <w:vertAlign w:val="superscript"/>
              </w:rPr>
              <w:t>5</w:t>
            </w:r>
          </w:p>
          <w:p w:rsidR="00466047" w:rsidRPr="00AD5BD3" w:rsidRDefault="00466047" w:rsidP="00252268">
            <w:pPr>
              <w:pStyle w:val="ListParagraph"/>
              <w:numPr>
                <w:ilvl w:val="0"/>
                <w:numId w:val="1"/>
              </w:numPr>
            </w:pPr>
            <w:r w:rsidRPr="00AD5BD3">
              <w:t>Prolonged exposure may cause an initial increase in synaptic dopamine and then lead to prolonged changes in the endogenous cannabinoid systems</w:t>
            </w:r>
            <w:r w:rsidR="003614D5">
              <w:t>.</w:t>
            </w:r>
            <w:r w:rsidRPr="00AD5BD3">
              <w:rPr>
                <w:vertAlign w:val="superscript"/>
              </w:rPr>
              <w:t>5</w:t>
            </w:r>
          </w:p>
          <w:p w:rsidR="00466047" w:rsidRPr="00AD5BD3" w:rsidRDefault="00466047" w:rsidP="00252268">
            <w:pPr>
              <w:pStyle w:val="ListParagraph"/>
              <w:numPr>
                <w:ilvl w:val="0"/>
                <w:numId w:val="1"/>
              </w:numPr>
            </w:pPr>
            <w:r w:rsidRPr="00AD5BD3">
              <w:t>Regular marijuana use has been linked with increased risk of tardive dyskinesi</w:t>
            </w:r>
            <w:r w:rsidR="003614D5">
              <w:t>a in patients on antipsychotics.</w:t>
            </w:r>
            <w:r w:rsidRPr="00AD5BD3">
              <w:rPr>
                <w:vertAlign w:val="superscript"/>
              </w:rPr>
              <w:t>5</w:t>
            </w:r>
          </w:p>
          <w:p w:rsidR="009A609D" w:rsidRPr="00AD5BD3" w:rsidRDefault="00252268" w:rsidP="00252268">
            <w:pPr>
              <w:pStyle w:val="ListParagraph"/>
              <w:numPr>
                <w:ilvl w:val="0"/>
                <w:numId w:val="1"/>
              </w:numPr>
            </w:pPr>
            <w:r w:rsidRPr="00AD5BD3">
              <w:t xml:space="preserve">Adolescents and individuals with primary psychiatric disorders appear to be particularly vulnerable to the </w:t>
            </w:r>
            <w:r w:rsidR="003614D5">
              <w:t>psychiatric effects of cannabis.</w:t>
            </w:r>
            <w:r w:rsidRPr="00AD5BD3">
              <w:rPr>
                <w:vertAlign w:val="superscript"/>
              </w:rPr>
              <w:t>1</w:t>
            </w:r>
          </w:p>
        </w:tc>
      </w:tr>
    </w:tbl>
    <w:p w:rsidR="00FA6466" w:rsidRDefault="00FA6466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4E6280" w:rsidRDefault="004E6280"/>
    <w:p w:rsidR="00C96F58" w:rsidRPr="004E6280" w:rsidRDefault="00C96F58" w:rsidP="00D912D3">
      <w:pPr>
        <w:jc w:val="center"/>
        <w:rPr>
          <w:rFonts w:ascii="Trebuchet MS" w:hAnsi="Trebuchet MS"/>
          <w:sz w:val="36"/>
          <w:szCs w:val="36"/>
        </w:rPr>
      </w:pPr>
      <w:r w:rsidRPr="004E6280">
        <w:rPr>
          <w:rFonts w:ascii="Trebuchet MS" w:hAnsi="Trebuchet MS"/>
          <w:sz w:val="36"/>
          <w:szCs w:val="36"/>
        </w:rPr>
        <w:lastRenderedPageBreak/>
        <w:t>References</w:t>
      </w:r>
    </w:p>
    <w:p w:rsidR="0099204E" w:rsidRPr="00AC63D4" w:rsidRDefault="00252268" w:rsidP="001A56CE">
      <w:pPr>
        <w:pStyle w:val="ListParagraph"/>
        <w:numPr>
          <w:ilvl w:val="0"/>
          <w:numId w:val="2"/>
        </w:numPr>
      </w:pPr>
      <w:proofErr w:type="spellStart"/>
      <w:r w:rsidRPr="00DB5980">
        <w:t>Kahan</w:t>
      </w:r>
      <w:proofErr w:type="spellEnd"/>
      <w:r w:rsidRPr="00DB5980">
        <w:t xml:space="preserve">, M. (2014). Physical Effects of Alcohol and Other Drugs. In </w:t>
      </w:r>
      <w:proofErr w:type="spellStart"/>
      <w:r w:rsidRPr="00DB5980">
        <w:t>M.Herie</w:t>
      </w:r>
      <w:proofErr w:type="spellEnd"/>
      <w:r w:rsidRPr="00DB5980">
        <w:t xml:space="preserve"> &amp; W. Skinner (Ed.), </w:t>
      </w:r>
      <w:r w:rsidRPr="0099204E">
        <w:rPr>
          <w:i/>
        </w:rPr>
        <w:t>Fundamentals of Ad</w:t>
      </w:r>
      <w:r w:rsidRPr="00AC63D4">
        <w:rPr>
          <w:i/>
        </w:rPr>
        <w:t>diction: A Practical Guide for Counsellors</w:t>
      </w:r>
      <w:r w:rsidRPr="00AC63D4">
        <w:t xml:space="preserve"> (4th ed., pp. xiii-xviii). Canada: Centre for Addiction and Mental Health.</w:t>
      </w:r>
    </w:p>
    <w:p w:rsidR="00BC2762" w:rsidRPr="00AC63D4" w:rsidRDefault="00BC2762" w:rsidP="001A56CE">
      <w:pPr>
        <w:pStyle w:val="ListParagraph"/>
        <w:numPr>
          <w:ilvl w:val="0"/>
          <w:numId w:val="2"/>
        </w:numPr>
      </w:pPr>
      <w:r w:rsidRPr="00AC63D4">
        <w:t xml:space="preserve">Publishers Group West. (2015). </w:t>
      </w:r>
      <w:proofErr w:type="spellStart"/>
      <w:r w:rsidRPr="00AC63D4">
        <w:rPr>
          <w:rStyle w:val="Emphasis"/>
        </w:rPr>
        <w:t>Streetdrugs</w:t>
      </w:r>
      <w:proofErr w:type="spellEnd"/>
      <w:r w:rsidRPr="00AC63D4">
        <w:rPr>
          <w:rStyle w:val="Emphasis"/>
        </w:rPr>
        <w:t xml:space="preserve">: a drug identification guide. </w:t>
      </w:r>
      <w:r w:rsidRPr="00AC63D4">
        <w:t>Long Lake: Publishers group West, LLC.</w:t>
      </w:r>
    </w:p>
    <w:p w:rsidR="00BC2762" w:rsidRPr="00AC63D4" w:rsidRDefault="00BC2762" w:rsidP="001A56CE">
      <w:pPr>
        <w:pStyle w:val="ListParagraph"/>
        <w:numPr>
          <w:ilvl w:val="0"/>
          <w:numId w:val="2"/>
        </w:numPr>
        <w:rPr>
          <w:rFonts w:cs="Times New Roman"/>
        </w:rPr>
      </w:pPr>
      <w:r w:rsidRPr="00AC63D4">
        <w:rPr>
          <w:rFonts w:cs="Times New Roman"/>
        </w:rPr>
        <w:t xml:space="preserve">Townsend, M. C. (2015). </w:t>
      </w:r>
      <w:r w:rsidRPr="00AC63D4">
        <w:rPr>
          <w:rFonts w:cs="Times New Roman"/>
          <w:i/>
        </w:rPr>
        <w:t>Psychiatric Nursing: Assessment, Care, Plans, and Medications</w:t>
      </w:r>
      <w:r w:rsidRPr="00AC63D4">
        <w:rPr>
          <w:rFonts w:cs="Times New Roman"/>
        </w:rPr>
        <w:t>. Philadelphia: F. A Davis Company</w:t>
      </w:r>
    </w:p>
    <w:p w:rsidR="0013197D" w:rsidRPr="00AC63D4" w:rsidRDefault="0013197D" w:rsidP="001A56CE">
      <w:pPr>
        <w:pStyle w:val="ListParagraph"/>
        <w:numPr>
          <w:ilvl w:val="0"/>
          <w:numId w:val="2"/>
        </w:numPr>
        <w:rPr>
          <w:rFonts w:cs="Times New Roman"/>
        </w:rPr>
      </w:pPr>
      <w:r w:rsidRPr="00AC63D4">
        <w:rPr>
          <w:rFonts w:cs="Times New Roman"/>
        </w:rPr>
        <w:t xml:space="preserve">Centre for Addiction and Mental Health (2010). </w:t>
      </w:r>
      <w:r w:rsidRPr="00AC63D4">
        <w:rPr>
          <w:rFonts w:cs="Times New Roman"/>
          <w:i/>
        </w:rPr>
        <w:t>Do You Know…</w:t>
      </w:r>
      <w:proofErr w:type="gramStart"/>
      <w:r w:rsidRPr="00AC63D4">
        <w:rPr>
          <w:rFonts w:cs="Times New Roman"/>
          <w:i/>
        </w:rPr>
        <w:t>Cannabis</w:t>
      </w:r>
      <w:r w:rsidRPr="00AC63D4">
        <w:rPr>
          <w:rFonts w:cs="Times New Roman"/>
        </w:rPr>
        <w:t>.</w:t>
      </w:r>
      <w:proofErr w:type="gramEnd"/>
      <w:r w:rsidRPr="00AC63D4">
        <w:rPr>
          <w:rFonts w:cs="Times New Roman"/>
        </w:rPr>
        <w:t xml:space="preserve">  Retrieved from </w:t>
      </w:r>
      <w:r w:rsidR="00FC3BE6" w:rsidRPr="00AC63D4">
        <w:rPr>
          <w:rFonts w:cs="Times New Roman"/>
        </w:rPr>
        <w:t>http://www.camh.ca/en/education/about/camh_publications/Documents/Flat_PDFs/dyk_cannabis.pdf</w:t>
      </w:r>
    </w:p>
    <w:p w:rsidR="00434C77" w:rsidRPr="00AC63D4" w:rsidRDefault="00434C77" w:rsidP="001A56CE">
      <w:pPr>
        <w:pStyle w:val="ListParagraph"/>
        <w:numPr>
          <w:ilvl w:val="0"/>
          <w:numId w:val="2"/>
        </w:numPr>
      </w:pPr>
      <w:proofErr w:type="spellStart"/>
      <w:r w:rsidRPr="00AC63D4">
        <w:t>Bezchlibnyk</w:t>
      </w:r>
      <w:proofErr w:type="spellEnd"/>
      <w:r w:rsidRPr="00AC63D4">
        <w:t xml:space="preserve">-Butler, K., Jeffries, J., </w:t>
      </w:r>
      <w:proofErr w:type="spellStart"/>
      <w:r w:rsidRPr="00AC63D4">
        <w:t>Procyshyn</w:t>
      </w:r>
      <w:proofErr w:type="spellEnd"/>
      <w:r w:rsidRPr="00AC63D4">
        <w:t>, R., Virani, A. (2014). Clinical Handbook of Psychotropic Drugs (20</w:t>
      </w:r>
      <w:r w:rsidRPr="00AC63D4">
        <w:rPr>
          <w:vertAlign w:val="superscript"/>
        </w:rPr>
        <w:t>th</w:t>
      </w:r>
      <w:r w:rsidRPr="00AC63D4">
        <w:t xml:space="preserve"> </w:t>
      </w:r>
      <w:proofErr w:type="spellStart"/>
      <w:proofErr w:type="gramStart"/>
      <w:r w:rsidRPr="00AC63D4">
        <w:t>ed</w:t>
      </w:r>
      <w:proofErr w:type="spellEnd"/>
      <w:proofErr w:type="gramEnd"/>
      <w:r w:rsidRPr="00AC63D4">
        <w:t xml:space="preserve">). </w:t>
      </w:r>
      <w:r w:rsidR="0099204E" w:rsidRPr="00AC63D4">
        <w:t xml:space="preserve">Toronto: </w:t>
      </w:r>
      <w:proofErr w:type="spellStart"/>
      <w:r w:rsidRPr="00AC63D4">
        <w:t>Hogrefe</w:t>
      </w:r>
      <w:proofErr w:type="spellEnd"/>
      <w:r w:rsidRPr="00AC63D4">
        <w:t xml:space="preserve"> Publishing</w:t>
      </w:r>
    </w:p>
    <w:p w:rsidR="001A56CE" w:rsidRPr="00AC63D4" w:rsidRDefault="00D71CC0" w:rsidP="001A56C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AC63D4">
        <w:t xml:space="preserve">U.S Department of Health &amp; Human Services. (2014). Ethanol. Retrieved on February 10, 2015, from </w:t>
      </w:r>
      <w:r w:rsidR="001A56CE" w:rsidRPr="00AC63D4">
        <w:t>http://householdproducts.nlm.nih.gov/cgi-bin/household/brands?tbl=chem&amp;id=25</w:t>
      </w:r>
    </w:p>
    <w:p w:rsidR="00D71CC0" w:rsidRPr="00AC63D4" w:rsidRDefault="00D71CC0" w:rsidP="00073CF6">
      <w:pPr>
        <w:pStyle w:val="ListParagraph"/>
        <w:numPr>
          <w:ilvl w:val="0"/>
          <w:numId w:val="2"/>
        </w:numPr>
        <w:rPr>
          <w:rFonts w:cs="Arial"/>
        </w:rPr>
      </w:pPr>
      <w:r w:rsidRPr="00AC63D4">
        <w:rPr>
          <w:rFonts w:cs="Arial"/>
        </w:rPr>
        <w:t>National Centre for Education and Training on Addiction (NCETA) Consortium. (2004)</w:t>
      </w:r>
      <w:r w:rsidR="00073CF6" w:rsidRPr="00AC63D4">
        <w:rPr>
          <w:rFonts w:cs="Arial"/>
        </w:rPr>
        <w:t xml:space="preserve">. </w:t>
      </w:r>
      <w:r w:rsidRPr="00AC63D4">
        <w:rPr>
          <w:rFonts w:cs="Arial"/>
        </w:rPr>
        <w:t xml:space="preserve">Alcohol and Other Drugs: A Handbook for Health Professionals. </w:t>
      </w:r>
      <w:r w:rsidR="00073CF6" w:rsidRPr="00AC63D4">
        <w:rPr>
          <w:rFonts w:cs="Arial"/>
        </w:rPr>
        <w:t>Retrieved on Feb 12, 2015, from http://www.health.gov.au/internet/main /publishing.nsf/Content/E5203E6D5CBAA696CA257BF0001E02ED/$File/aodgp.pdf</w:t>
      </w:r>
    </w:p>
    <w:p w:rsidR="00AC63D4" w:rsidRPr="00AC63D4" w:rsidRDefault="00AC63D4" w:rsidP="001A56CE">
      <w:pPr>
        <w:pStyle w:val="ListParagraph"/>
        <w:numPr>
          <w:ilvl w:val="0"/>
          <w:numId w:val="2"/>
        </w:numPr>
        <w:spacing w:after="0" w:line="348" w:lineRule="auto"/>
        <w:rPr>
          <w:rFonts w:eastAsia="Cambria" w:cs="Cambria"/>
          <w:shd w:val="clear" w:color="auto" w:fill="FFFFFF"/>
        </w:rPr>
      </w:pPr>
      <w:r w:rsidRPr="00AC63D4">
        <w:rPr>
          <w:rFonts w:cs="Arial"/>
          <w:color w:val="222222"/>
          <w:shd w:val="clear" w:color="auto" w:fill="FFFFFF"/>
        </w:rPr>
        <w:t>Lindsey, W. T., Stewart, D., &amp; Childress, D. (2012). Drug interactions between common illicit drugs and prescription therapies.</w:t>
      </w:r>
      <w:r w:rsidRPr="00AC63D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AC63D4">
        <w:rPr>
          <w:rFonts w:cs="Arial"/>
          <w:i/>
          <w:iCs/>
          <w:color w:val="222222"/>
          <w:shd w:val="clear" w:color="auto" w:fill="FFFFFF"/>
        </w:rPr>
        <w:t>The American Journal of Drug and Alcohol Abuse</w:t>
      </w:r>
      <w:r w:rsidRPr="00AC63D4">
        <w:rPr>
          <w:rFonts w:cs="Arial"/>
          <w:color w:val="222222"/>
          <w:shd w:val="clear" w:color="auto" w:fill="FFFFFF"/>
        </w:rPr>
        <w:t>,</w:t>
      </w:r>
      <w:r w:rsidRPr="00AC63D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AC63D4">
        <w:rPr>
          <w:rFonts w:cs="Arial"/>
          <w:i/>
          <w:iCs/>
          <w:color w:val="222222"/>
          <w:shd w:val="clear" w:color="auto" w:fill="FFFFFF"/>
        </w:rPr>
        <w:t>38</w:t>
      </w:r>
      <w:r w:rsidRPr="00AC63D4">
        <w:rPr>
          <w:rFonts w:cs="Arial"/>
          <w:color w:val="222222"/>
          <w:shd w:val="clear" w:color="auto" w:fill="FFFFFF"/>
        </w:rPr>
        <w:t>(4), 334-343.</w:t>
      </w:r>
      <w:r w:rsidRPr="00AC63D4">
        <w:rPr>
          <w:rFonts w:eastAsia="Cambria" w:cs="Cambria"/>
          <w:shd w:val="clear" w:color="auto" w:fill="FFFFFF"/>
        </w:rPr>
        <w:t xml:space="preserve"> </w:t>
      </w:r>
    </w:p>
    <w:p w:rsidR="00AC63D4" w:rsidRPr="00AC63D4" w:rsidRDefault="00AC63D4" w:rsidP="0025150A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="Times New Roman"/>
          <w:color w:val="auto"/>
          <w:u w:val="none"/>
        </w:rPr>
      </w:pPr>
      <w:r w:rsidRPr="00AC63D4">
        <w:rPr>
          <w:rFonts w:cs="Arial"/>
          <w:color w:val="222222"/>
          <w:shd w:val="clear" w:color="auto" w:fill="FFFFFF"/>
        </w:rPr>
        <w:t xml:space="preserve">Abrams, D. I., </w:t>
      </w:r>
      <w:proofErr w:type="spellStart"/>
      <w:r w:rsidRPr="00AC63D4">
        <w:rPr>
          <w:rFonts w:cs="Arial"/>
          <w:color w:val="222222"/>
          <w:shd w:val="clear" w:color="auto" w:fill="FFFFFF"/>
        </w:rPr>
        <w:t>Couey</w:t>
      </w:r>
      <w:proofErr w:type="spellEnd"/>
      <w:r w:rsidRPr="00AC63D4">
        <w:rPr>
          <w:rFonts w:cs="Arial"/>
          <w:color w:val="222222"/>
          <w:shd w:val="clear" w:color="auto" w:fill="FFFFFF"/>
        </w:rPr>
        <w:t xml:space="preserve">, P., Shade, S. B., Kelly, M. E., &amp; </w:t>
      </w:r>
      <w:proofErr w:type="spellStart"/>
      <w:r w:rsidRPr="00AC63D4">
        <w:rPr>
          <w:rFonts w:cs="Arial"/>
          <w:color w:val="222222"/>
          <w:shd w:val="clear" w:color="auto" w:fill="FFFFFF"/>
        </w:rPr>
        <w:t>Benowitz</w:t>
      </w:r>
      <w:proofErr w:type="spellEnd"/>
      <w:r w:rsidRPr="00AC63D4">
        <w:rPr>
          <w:rFonts w:cs="Arial"/>
          <w:color w:val="222222"/>
          <w:shd w:val="clear" w:color="auto" w:fill="FFFFFF"/>
        </w:rPr>
        <w:t>, N. L. (2011). Cannabinoid–opioid interaction in chronic pain.</w:t>
      </w:r>
      <w:r w:rsidRPr="00AC63D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AC63D4">
        <w:rPr>
          <w:rFonts w:cs="Arial"/>
          <w:i/>
          <w:iCs/>
          <w:color w:val="222222"/>
          <w:shd w:val="clear" w:color="auto" w:fill="FFFFFF"/>
        </w:rPr>
        <w:t>Clinical Pharmacology &amp; Therapeutics</w:t>
      </w:r>
      <w:r w:rsidRPr="00AC63D4">
        <w:rPr>
          <w:rFonts w:cs="Arial"/>
          <w:color w:val="222222"/>
          <w:shd w:val="clear" w:color="auto" w:fill="FFFFFF"/>
        </w:rPr>
        <w:t>,</w:t>
      </w:r>
      <w:r w:rsidRPr="00AC63D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AC63D4">
        <w:rPr>
          <w:rFonts w:cs="Arial"/>
          <w:i/>
          <w:iCs/>
          <w:color w:val="222222"/>
          <w:shd w:val="clear" w:color="auto" w:fill="FFFFFF"/>
        </w:rPr>
        <w:t>90</w:t>
      </w:r>
      <w:r w:rsidRPr="00AC63D4">
        <w:rPr>
          <w:rFonts w:cs="Arial"/>
          <w:color w:val="222222"/>
          <w:shd w:val="clear" w:color="auto" w:fill="FFFFFF"/>
        </w:rPr>
        <w:t>(6), 844-851.</w:t>
      </w:r>
      <w:r w:rsidRPr="00AC63D4">
        <w:rPr>
          <w:rStyle w:val="Hyperlink"/>
          <w:rFonts w:cs="Times New Roman"/>
          <w:color w:val="auto"/>
          <w:u w:val="none"/>
        </w:rPr>
        <w:t xml:space="preserve"> </w:t>
      </w:r>
    </w:p>
    <w:p w:rsidR="0025150A" w:rsidRPr="00AC63D4" w:rsidRDefault="0025150A" w:rsidP="0025150A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="Times New Roman"/>
          <w:color w:val="auto"/>
          <w:u w:val="none"/>
        </w:rPr>
      </w:pPr>
      <w:r w:rsidRPr="00AC63D4">
        <w:rPr>
          <w:rStyle w:val="Hyperlink"/>
          <w:rFonts w:cs="Times New Roman"/>
          <w:color w:val="auto"/>
          <w:u w:val="none"/>
        </w:rPr>
        <w:t xml:space="preserve">Townsend, M.C. (2015). </w:t>
      </w:r>
      <w:r w:rsidRPr="00AC63D4">
        <w:rPr>
          <w:rStyle w:val="Hyperlink"/>
          <w:rFonts w:cs="Times New Roman"/>
          <w:i/>
          <w:color w:val="auto"/>
          <w:u w:val="none"/>
        </w:rPr>
        <w:t xml:space="preserve">Psychiatric Nursing: Assessment, Care Plans, and Medications. </w:t>
      </w:r>
      <w:r w:rsidRPr="00AC63D4">
        <w:rPr>
          <w:rStyle w:val="Hyperlink"/>
          <w:rFonts w:cs="Times New Roman"/>
          <w:color w:val="auto"/>
          <w:u w:val="none"/>
        </w:rPr>
        <w:t>Oklahoma: F.A. Davis Company.</w:t>
      </w:r>
    </w:p>
    <w:p w:rsidR="0025150A" w:rsidRPr="0099204E" w:rsidRDefault="0025150A" w:rsidP="0025150A">
      <w:pPr>
        <w:pStyle w:val="ListParagraph"/>
        <w:spacing w:after="0" w:line="348" w:lineRule="auto"/>
        <w:ind w:left="360"/>
        <w:rPr>
          <w:rFonts w:eastAsia="Cambria" w:cs="Cambria"/>
          <w:shd w:val="clear" w:color="auto" w:fill="FFFFFF"/>
        </w:rPr>
      </w:pPr>
    </w:p>
    <w:p w:rsidR="001A56CE" w:rsidRPr="00DB5980" w:rsidRDefault="001A56CE" w:rsidP="001A56CE">
      <w:pPr>
        <w:rPr>
          <w:rFonts w:cs="Arial"/>
        </w:rPr>
      </w:pPr>
    </w:p>
    <w:p w:rsidR="001A56CE" w:rsidRPr="00AD5BD3" w:rsidRDefault="001A56CE" w:rsidP="001A56CE">
      <w:pPr>
        <w:pStyle w:val="NoSpacing"/>
        <w:ind w:left="720"/>
      </w:pPr>
    </w:p>
    <w:p w:rsidR="00FC3BE6" w:rsidRPr="00AD5BD3" w:rsidRDefault="00FC3BE6" w:rsidP="00434C77">
      <w:pPr>
        <w:pStyle w:val="ListParagraph"/>
        <w:rPr>
          <w:rFonts w:cs="Times New Roman"/>
        </w:rPr>
      </w:pPr>
    </w:p>
    <w:p w:rsidR="00BC2762" w:rsidRPr="00AD5BD3" w:rsidRDefault="00BC2762" w:rsidP="00BC2762">
      <w:pPr>
        <w:pStyle w:val="ListParagraph"/>
      </w:pPr>
    </w:p>
    <w:p w:rsidR="00252268" w:rsidRPr="00AD5BD3" w:rsidRDefault="00252268"/>
    <w:sectPr w:rsidR="00252268" w:rsidRPr="00AD5BD3" w:rsidSect="00C96F5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35" w:rsidRDefault="00E35735" w:rsidP="00E35735">
      <w:pPr>
        <w:spacing w:after="0" w:line="240" w:lineRule="auto"/>
      </w:pPr>
      <w:r>
        <w:separator/>
      </w:r>
    </w:p>
  </w:endnote>
  <w:endnote w:type="continuationSeparator" w:id="0">
    <w:p w:rsidR="00E35735" w:rsidRDefault="00E35735" w:rsidP="00E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35" w:rsidRDefault="00E35735" w:rsidP="00E35735">
      <w:pPr>
        <w:spacing w:after="0" w:line="240" w:lineRule="auto"/>
      </w:pPr>
      <w:r>
        <w:separator/>
      </w:r>
    </w:p>
  </w:footnote>
  <w:footnote w:type="continuationSeparator" w:id="0">
    <w:p w:rsidR="00E35735" w:rsidRDefault="00E35735" w:rsidP="00E3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35" w:rsidRDefault="00E3573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92E7992" wp14:editId="66FAB32C">
          <wp:simplePos x="0" y="0"/>
          <wp:positionH relativeFrom="column">
            <wp:posOffset>-59690</wp:posOffset>
          </wp:positionH>
          <wp:positionV relativeFrom="paragraph">
            <wp:posOffset>-335915</wp:posOffset>
          </wp:positionV>
          <wp:extent cx="436245" cy="436245"/>
          <wp:effectExtent l="0" t="0" r="1905" b="1905"/>
          <wp:wrapThrough wrapText="bothSides">
            <wp:wrapPolygon edited="0">
              <wp:start x="0" y="0"/>
              <wp:lineTo x="0" y="20751"/>
              <wp:lineTo x="20751" y="20751"/>
              <wp:lineTo x="20751" y="0"/>
              <wp:lineTo x="0" y="0"/>
            </wp:wrapPolygon>
          </wp:wrapThrough>
          <wp:docPr id="2" name="Picture 2" descr="E:\For Bill\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 Bill\But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22B"/>
    <w:multiLevelType w:val="hybridMultilevel"/>
    <w:tmpl w:val="A0685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814"/>
    <w:multiLevelType w:val="hybridMultilevel"/>
    <w:tmpl w:val="D890A516"/>
    <w:lvl w:ilvl="0" w:tplc="8CDE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6A81"/>
    <w:multiLevelType w:val="hybridMultilevel"/>
    <w:tmpl w:val="8258DD6C"/>
    <w:lvl w:ilvl="0" w:tplc="8CDE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366BB"/>
    <w:multiLevelType w:val="hybridMultilevel"/>
    <w:tmpl w:val="DE5AC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6D14"/>
    <w:multiLevelType w:val="hybridMultilevel"/>
    <w:tmpl w:val="BFD4C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4FE"/>
    <w:multiLevelType w:val="hybridMultilevel"/>
    <w:tmpl w:val="68B2F844"/>
    <w:lvl w:ilvl="0" w:tplc="8138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B54"/>
    <w:multiLevelType w:val="hybridMultilevel"/>
    <w:tmpl w:val="053C4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3372"/>
    <w:multiLevelType w:val="hybridMultilevel"/>
    <w:tmpl w:val="9370C566"/>
    <w:lvl w:ilvl="0" w:tplc="8CDE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0DBB"/>
    <w:multiLevelType w:val="hybridMultilevel"/>
    <w:tmpl w:val="8EE8C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C78E6"/>
    <w:multiLevelType w:val="hybridMultilevel"/>
    <w:tmpl w:val="1366A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4D5"/>
    <w:multiLevelType w:val="hybridMultilevel"/>
    <w:tmpl w:val="8EB07DE2"/>
    <w:lvl w:ilvl="0" w:tplc="D196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544CF"/>
    <w:multiLevelType w:val="hybridMultilevel"/>
    <w:tmpl w:val="0A3AD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28CD"/>
    <w:multiLevelType w:val="hybridMultilevel"/>
    <w:tmpl w:val="B9E2C548"/>
    <w:lvl w:ilvl="0" w:tplc="D196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2E69"/>
    <w:multiLevelType w:val="hybridMultilevel"/>
    <w:tmpl w:val="63925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D7851"/>
    <w:multiLevelType w:val="hybridMultilevel"/>
    <w:tmpl w:val="035A0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1034E"/>
    <w:multiLevelType w:val="hybridMultilevel"/>
    <w:tmpl w:val="F2C619D4"/>
    <w:lvl w:ilvl="0" w:tplc="4460A1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C2903"/>
    <w:multiLevelType w:val="hybridMultilevel"/>
    <w:tmpl w:val="2692F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73CF6"/>
    <w:rsid w:val="000C6CA8"/>
    <w:rsid w:val="000D3E4B"/>
    <w:rsid w:val="0013197D"/>
    <w:rsid w:val="001A56CE"/>
    <w:rsid w:val="0025150A"/>
    <w:rsid w:val="00252268"/>
    <w:rsid w:val="00295C71"/>
    <w:rsid w:val="002C3279"/>
    <w:rsid w:val="0033228D"/>
    <w:rsid w:val="003614D5"/>
    <w:rsid w:val="00434C77"/>
    <w:rsid w:val="00442CF7"/>
    <w:rsid w:val="00460F54"/>
    <w:rsid w:val="00466047"/>
    <w:rsid w:val="004E6280"/>
    <w:rsid w:val="00502605"/>
    <w:rsid w:val="00502ADC"/>
    <w:rsid w:val="00546000"/>
    <w:rsid w:val="005B6359"/>
    <w:rsid w:val="005C6DDC"/>
    <w:rsid w:val="006351DE"/>
    <w:rsid w:val="0069271B"/>
    <w:rsid w:val="006A7E02"/>
    <w:rsid w:val="007B694D"/>
    <w:rsid w:val="00873CE6"/>
    <w:rsid w:val="008957B3"/>
    <w:rsid w:val="008C02CD"/>
    <w:rsid w:val="0099204E"/>
    <w:rsid w:val="009970F9"/>
    <w:rsid w:val="009A609D"/>
    <w:rsid w:val="009E467F"/>
    <w:rsid w:val="00A7754F"/>
    <w:rsid w:val="00A93FD3"/>
    <w:rsid w:val="00AC63D4"/>
    <w:rsid w:val="00AD5BD3"/>
    <w:rsid w:val="00BC2762"/>
    <w:rsid w:val="00BE436D"/>
    <w:rsid w:val="00C02707"/>
    <w:rsid w:val="00C96F58"/>
    <w:rsid w:val="00D2728D"/>
    <w:rsid w:val="00D56358"/>
    <w:rsid w:val="00D71CC0"/>
    <w:rsid w:val="00D912D3"/>
    <w:rsid w:val="00D95B27"/>
    <w:rsid w:val="00DB5980"/>
    <w:rsid w:val="00DE7AF0"/>
    <w:rsid w:val="00E23042"/>
    <w:rsid w:val="00E35735"/>
    <w:rsid w:val="00E8278C"/>
    <w:rsid w:val="00ED68C0"/>
    <w:rsid w:val="00EF2D58"/>
    <w:rsid w:val="00FA4860"/>
    <w:rsid w:val="00FA6466"/>
    <w:rsid w:val="00FC3BE6"/>
    <w:rsid w:val="00FD6628"/>
    <w:rsid w:val="00FF3CB5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paragraph" w:customStyle="1" w:styleId="citation">
    <w:name w:val="citation"/>
    <w:basedOn w:val="Normal"/>
    <w:rsid w:val="00BC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C276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3B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1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63D4"/>
  </w:style>
  <w:style w:type="paragraph" w:styleId="Header">
    <w:name w:val="header"/>
    <w:basedOn w:val="Normal"/>
    <w:link w:val="HeaderChar"/>
    <w:uiPriority w:val="99"/>
    <w:unhideWhenUsed/>
    <w:rsid w:val="00E3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5"/>
  </w:style>
  <w:style w:type="paragraph" w:styleId="Footer">
    <w:name w:val="footer"/>
    <w:basedOn w:val="Normal"/>
    <w:link w:val="FooterChar"/>
    <w:uiPriority w:val="99"/>
    <w:unhideWhenUsed/>
    <w:rsid w:val="00E3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paragraph" w:customStyle="1" w:styleId="citation">
    <w:name w:val="citation"/>
    <w:basedOn w:val="Normal"/>
    <w:rsid w:val="00BC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C276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3B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1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63D4"/>
  </w:style>
  <w:style w:type="paragraph" w:styleId="Header">
    <w:name w:val="header"/>
    <w:basedOn w:val="Normal"/>
    <w:link w:val="HeaderChar"/>
    <w:uiPriority w:val="99"/>
    <w:unhideWhenUsed/>
    <w:rsid w:val="00E3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5"/>
  </w:style>
  <w:style w:type="paragraph" w:styleId="Footer">
    <w:name w:val="footer"/>
    <w:basedOn w:val="Normal"/>
    <w:link w:val="FooterChar"/>
    <w:uiPriority w:val="99"/>
    <w:unhideWhenUsed/>
    <w:rsid w:val="00E3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2015-06-04T17:15:00Z</cp:lastPrinted>
  <dcterms:created xsi:type="dcterms:W3CDTF">2015-02-06T15:03:00Z</dcterms:created>
  <dcterms:modified xsi:type="dcterms:W3CDTF">2015-06-04T17:15:00Z</dcterms:modified>
</cp:coreProperties>
</file>