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8930"/>
      </w:tblGrid>
      <w:tr w:rsidR="002550B9" w:rsidRPr="00AF3500" w:rsidTr="002550B9">
        <w:tc>
          <w:tcPr>
            <w:tcW w:w="10881" w:type="dxa"/>
            <w:gridSpan w:val="2"/>
            <w:shd w:val="clear" w:color="auto" w:fill="244061" w:themeFill="accent1" w:themeFillShade="80"/>
          </w:tcPr>
          <w:p w:rsidR="002550B9" w:rsidRDefault="002550B9" w:rsidP="002550B9">
            <w:pPr>
              <w:shd w:val="clear" w:color="auto" w:fill="244061" w:themeFill="accent1" w:themeFillShade="80"/>
              <w:jc w:val="center"/>
              <w:rPr>
                <w:rFonts w:ascii="Trebuchet MS" w:hAnsi="Trebuchet MS"/>
                <w:b/>
                <w:color w:val="FFFFFF" w:themeColor="background1"/>
                <w:sz w:val="36"/>
                <w:szCs w:val="36"/>
              </w:rPr>
            </w:pPr>
            <w:r w:rsidRPr="002550B9">
              <w:rPr>
                <w:rFonts w:ascii="Trebuchet MS" w:hAnsi="Trebuchet MS"/>
                <w:b/>
                <w:color w:val="FFFFFF" w:themeColor="background1"/>
                <w:sz w:val="36"/>
                <w:szCs w:val="36"/>
              </w:rPr>
              <w:t>Gamma-</w:t>
            </w:r>
            <w:proofErr w:type="spellStart"/>
            <w:r w:rsidRPr="002550B9">
              <w:rPr>
                <w:rFonts w:ascii="Trebuchet MS" w:hAnsi="Trebuchet MS"/>
                <w:b/>
                <w:color w:val="FFFFFF" w:themeColor="background1"/>
                <w:sz w:val="36"/>
                <w:szCs w:val="36"/>
              </w:rPr>
              <w:t>hydroxybutyrate</w:t>
            </w:r>
            <w:proofErr w:type="spellEnd"/>
            <w:r w:rsidRPr="002550B9">
              <w:rPr>
                <w:rFonts w:ascii="Trebuchet MS" w:hAnsi="Trebuchet MS"/>
                <w:b/>
                <w:color w:val="FFFFFF" w:themeColor="background1"/>
                <w:sz w:val="36"/>
                <w:szCs w:val="36"/>
              </w:rPr>
              <w:t xml:space="preserve"> </w:t>
            </w:r>
          </w:p>
          <w:p w:rsidR="002550B9" w:rsidRPr="00AF3500" w:rsidRDefault="002550B9" w:rsidP="002550B9">
            <w:pPr>
              <w:shd w:val="clear" w:color="auto" w:fill="244061" w:themeFill="accent1" w:themeFillShade="80"/>
              <w:jc w:val="center"/>
              <w:rPr>
                <w:b/>
              </w:rPr>
            </w:pPr>
            <w:r w:rsidRPr="002550B9">
              <w:rPr>
                <w:rFonts w:ascii="Trebuchet MS" w:hAnsi="Trebuchet MS"/>
                <w:b/>
                <w:color w:val="FFFFFF" w:themeColor="background1"/>
                <w:sz w:val="36"/>
                <w:szCs w:val="36"/>
              </w:rPr>
              <w:t xml:space="preserve">(GHB)/Sodium </w:t>
            </w:r>
            <w:proofErr w:type="spellStart"/>
            <w:r w:rsidRPr="002550B9">
              <w:rPr>
                <w:rFonts w:ascii="Trebuchet MS" w:hAnsi="Trebuchet MS"/>
                <w:b/>
                <w:color w:val="FFFFFF" w:themeColor="background1"/>
                <w:sz w:val="36"/>
                <w:szCs w:val="36"/>
              </w:rPr>
              <w:t>Oxybate</w:t>
            </w:r>
            <w:proofErr w:type="spellEnd"/>
          </w:p>
        </w:tc>
      </w:tr>
      <w:tr w:rsidR="002550B9" w:rsidRPr="00AF3500" w:rsidTr="00257A6C">
        <w:tc>
          <w:tcPr>
            <w:tcW w:w="10881" w:type="dxa"/>
            <w:gridSpan w:val="2"/>
          </w:tcPr>
          <w:p w:rsidR="002550B9" w:rsidRPr="007650A2" w:rsidRDefault="002550B9" w:rsidP="002550B9">
            <w:pPr>
              <w:pStyle w:val="ListParagraph"/>
              <w:numPr>
                <w:ilvl w:val="0"/>
                <w:numId w:val="17"/>
              </w:numPr>
              <w:rPr>
                <w:b/>
                <w:noProof/>
                <w:lang w:eastAsia="en-CA"/>
              </w:rPr>
            </w:pPr>
            <w:r w:rsidRPr="002550B9">
              <w:rPr>
                <w:b/>
              </w:rPr>
              <w:t>Alternative names:</w:t>
            </w:r>
            <w:r>
              <w:rPr>
                <w:b/>
              </w:rPr>
              <w:t xml:space="preserve">  </w:t>
            </w:r>
            <w:r>
              <w:t xml:space="preserve">liquid </w:t>
            </w:r>
            <w:r w:rsidR="00453E60">
              <w:t>ecstasy</w:t>
            </w:r>
            <w:r>
              <w:t xml:space="preserve">, liquid X, liquid F, goop, GBH= Grievous Bodily Harm, Easy lay, Ghost Breath, G, </w:t>
            </w:r>
            <w:proofErr w:type="spellStart"/>
            <w:r>
              <w:t>Somatomax</w:t>
            </w:r>
            <w:proofErr w:type="spellEnd"/>
            <w:r>
              <w:t>, Gamma-G, Growth Hormone Booster, Georgia home boy, nature’s Quaalude, G-</w:t>
            </w:r>
            <w:proofErr w:type="spellStart"/>
            <w:r>
              <w:t>riffick</w:t>
            </w:r>
            <w:proofErr w:type="spellEnd"/>
            <w:r>
              <w:t>, Soapy, Salty Water</w:t>
            </w:r>
          </w:p>
          <w:p w:rsidR="007650A2" w:rsidRDefault="007650A2" w:rsidP="007650A2">
            <w:pPr>
              <w:rPr>
                <w:b/>
                <w:noProof/>
                <w:lang w:eastAsia="en-CA"/>
              </w:rPr>
            </w:pPr>
          </w:p>
          <w:p w:rsidR="007650A2" w:rsidRDefault="007650A2" w:rsidP="007650A2">
            <w:pPr>
              <w:rPr>
                <w:b/>
                <w:noProof/>
                <w:lang w:eastAsia="en-CA"/>
              </w:rPr>
            </w:pPr>
          </w:p>
          <w:p w:rsidR="007650A2" w:rsidRDefault="007650A2" w:rsidP="007650A2">
            <w:pPr>
              <w:rPr>
                <w:b/>
                <w:noProof/>
                <w:lang w:eastAsia="en-CA"/>
              </w:rPr>
            </w:pPr>
          </w:p>
          <w:p w:rsidR="007650A2" w:rsidRPr="007650A2" w:rsidRDefault="007650A2" w:rsidP="007650A2">
            <w:pPr>
              <w:rPr>
                <w:b/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658240" behindDoc="1" locked="0" layoutInCell="1" allowOverlap="1" wp14:anchorId="12F49082" wp14:editId="4B587B41">
                  <wp:simplePos x="0" y="0"/>
                  <wp:positionH relativeFrom="column">
                    <wp:posOffset>5043170</wp:posOffset>
                  </wp:positionH>
                  <wp:positionV relativeFrom="paragraph">
                    <wp:posOffset>-973455</wp:posOffset>
                  </wp:positionV>
                  <wp:extent cx="1642745" cy="1219200"/>
                  <wp:effectExtent l="0" t="0" r="0" b="0"/>
                  <wp:wrapThrough wrapText="bothSides">
                    <wp:wrapPolygon edited="0">
                      <wp:start x="0" y="0"/>
                      <wp:lineTo x="0" y="21263"/>
                      <wp:lineTo x="21291" y="21263"/>
                      <wp:lineTo x="21291" y="0"/>
                      <wp:lineTo x="0" y="0"/>
                    </wp:wrapPolygon>
                  </wp:wrapThrough>
                  <wp:docPr id="2" name="Picture 2" descr="https://wiki.tripsit.me/images/a/a7/GH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iki.tripsit.me/images/a/a7/GH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74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609D" w:rsidTr="00B4706D">
        <w:tc>
          <w:tcPr>
            <w:tcW w:w="1951" w:type="dxa"/>
            <w:shd w:val="clear" w:color="auto" w:fill="244061" w:themeFill="accent1" w:themeFillShade="80"/>
          </w:tcPr>
          <w:p w:rsidR="007B6967" w:rsidRPr="002550B9" w:rsidRDefault="007B6967" w:rsidP="00CE6F24">
            <w:pPr>
              <w:jc w:val="center"/>
              <w:rPr>
                <w:rFonts w:ascii="Trebuchet MS" w:hAnsi="Trebuchet MS"/>
                <w:b/>
              </w:rPr>
            </w:pPr>
          </w:p>
          <w:p w:rsidR="007B6967" w:rsidRPr="002550B9" w:rsidRDefault="007B6967" w:rsidP="00CE6F24">
            <w:pPr>
              <w:jc w:val="center"/>
              <w:rPr>
                <w:rFonts w:ascii="Trebuchet MS" w:hAnsi="Trebuchet MS"/>
                <w:b/>
              </w:rPr>
            </w:pPr>
          </w:p>
          <w:p w:rsidR="007B6967" w:rsidRPr="002550B9" w:rsidRDefault="007B6967" w:rsidP="00CE6F24">
            <w:pPr>
              <w:jc w:val="center"/>
              <w:rPr>
                <w:rFonts w:ascii="Trebuchet MS" w:hAnsi="Trebuchet MS"/>
                <w:b/>
              </w:rPr>
            </w:pPr>
          </w:p>
          <w:p w:rsidR="007B6967" w:rsidRPr="002550B9" w:rsidRDefault="007B6967" w:rsidP="00CE6F24">
            <w:pPr>
              <w:jc w:val="center"/>
              <w:rPr>
                <w:rFonts w:ascii="Trebuchet MS" w:hAnsi="Trebuchet MS"/>
                <w:b/>
              </w:rPr>
            </w:pPr>
          </w:p>
          <w:p w:rsidR="007B6967" w:rsidRPr="002550B9" w:rsidRDefault="007B6967" w:rsidP="00CE6F24">
            <w:pPr>
              <w:jc w:val="center"/>
              <w:rPr>
                <w:rFonts w:ascii="Trebuchet MS" w:hAnsi="Trebuchet MS"/>
                <w:b/>
              </w:rPr>
            </w:pPr>
          </w:p>
          <w:p w:rsidR="009A609D" w:rsidRPr="002550B9" w:rsidRDefault="009A609D" w:rsidP="00CE6F24">
            <w:pPr>
              <w:jc w:val="center"/>
              <w:rPr>
                <w:rFonts w:ascii="Trebuchet MS" w:hAnsi="Trebuchet MS"/>
                <w:b/>
                <w:color w:val="8DB3E2" w:themeColor="text2" w:themeTint="66"/>
              </w:rPr>
            </w:pPr>
            <w:r w:rsidRPr="002550B9">
              <w:rPr>
                <w:rFonts w:ascii="Trebuchet MS" w:hAnsi="Trebuchet MS"/>
                <w:b/>
              </w:rPr>
              <w:t>Characteristics</w:t>
            </w:r>
          </w:p>
        </w:tc>
        <w:tc>
          <w:tcPr>
            <w:tcW w:w="8930" w:type="dxa"/>
          </w:tcPr>
          <w:p w:rsidR="009A609D" w:rsidRDefault="007E582E" w:rsidP="007E582E">
            <w:pPr>
              <w:pStyle w:val="ListParagraph"/>
              <w:numPr>
                <w:ilvl w:val="0"/>
                <w:numId w:val="2"/>
              </w:numPr>
            </w:pPr>
            <w:r>
              <w:t xml:space="preserve">Produced naturally in the body and is a metabolite of gamma </w:t>
            </w:r>
            <w:proofErr w:type="spellStart"/>
            <w:r>
              <w:t>aminobutyric</w:t>
            </w:r>
            <w:proofErr w:type="spellEnd"/>
            <w:r>
              <w:t xml:space="preserve"> acid (GABA)</w:t>
            </w:r>
            <w:r w:rsidRPr="002550B9">
              <w:rPr>
                <w:vertAlign w:val="superscript"/>
              </w:rPr>
              <w:t>1</w:t>
            </w:r>
          </w:p>
          <w:p w:rsidR="007E582E" w:rsidRDefault="007E582E" w:rsidP="007E582E">
            <w:pPr>
              <w:pStyle w:val="ListParagraph"/>
              <w:numPr>
                <w:ilvl w:val="0"/>
                <w:numId w:val="2"/>
              </w:numPr>
            </w:pPr>
            <w:r>
              <w:t>Stimulates slow-wave sleep (stages 3 and 4) and decreases stage 1 sleep; with continued use, decreases REM sleep.</w:t>
            </w:r>
            <w:r w:rsidR="00F43551">
              <w:t xml:space="preserve"> </w:t>
            </w:r>
            <w:r w:rsidRPr="00F43551">
              <w:rPr>
                <w:vertAlign w:val="superscript"/>
              </w:rPr>
              <w:t>1</w:t>
            </w:r>
          </w:p>
          <w:p w:rsidR="007E582E" w:rsidRDefault="007E582E" w:rsidP="007E582E">
            <w:pPr>
              <w:pStyle w:val="ListParagraph"/>
              <w:numPr>
                <w:ilvl w:val="0"/>
                <w:numId w:val="2"/>
              </w:numPr>
            </w:pPr>
            <w:r>
              <w:t>Shown to increase dopamine levels in the basal ganglia</w:t>
            </w:r>
          </w:p>
          <w:p w:rsidR="007E582E" w:rsidRDefault="007E582E" w:rsidP="007E582E">
            <w:pPr>
              <w:pStyle w:val="ListParagraph"/>
              <w:numPr>
                <w:ilvl w:val="0"/>
                <w:numId w:val="2"/>
              </w:numPr>
            </w:pPr>
            <w:r>
              <w:t>At 10mg/kg produces anxiolytic effect, muscle relaxation, and amnesia</w:t>
            </w:r>
          </w:p>
          <w:p w:rsidR="007E582E" w:rsidRDefault="007E582E" w:rsidP="007E582E">
            <w:pPr>
              <w:pStyle w:val="ListParagraph"/>
              <w:numPr>
                <w:ilvl w:val="0"/>
                <w:numId w:val="2"/>
              </w:numPr>
            </w:pPr>
            <w:r>
              <w:t>At 20-30mg/kg increases REM and slow-wave sleep</w:t>
            </w:r>
          </w:p>
          <w:p w:rsidR="007E582E" w:rsidRDefault="007E582E" w:rsidP="007E582E">
            <w:pPr>
              <w:pStyle w:val="ListParagraph"/>
              <w:numPr>
                <w:ilvl w:val="0"/>
                <w:numId w:val="2"/>
              </w:numPr>
            </w:pPr>
            <w:r>
              <w:t>Doses &gt; 60mg/kg can result in anesthesia, respiratory depression and coma</w:t>
            </w:r>
          </w:p>
          <w:p w:rsidR="007E582E" w:rsidRDefault="007E582E" w:rsidP="007E582E">
            <w:pPr>
              <w:pStyle w:val="ListParagraph"/>
              <w:numPr>
                <w:ilvl w:val="0"/>
                <w:numId w:val="2"/>
              </w:numPr>
            </w:pPr>
            <w:r>
              <w:t>Onset of action is within 30min</w:t>
            </w:r>
          </w:p>
          <w:p w:rsidR="007E582E" w:rsidRDefault="007E582E" w:rsidP="007E582E">
            <w:pPr>
              <w:pStyle w:val="ListParagraph"/>
              <w:numPr>
                <w:ilvl w:val="0"/>
                <w:numId w:val="2"/>
              </w:numPr>
            </w:pPr>
            <w:r>
              <w:t>Elimination half-life is approximately 20-30min; no longer detected in blood after 2-8h and in urine after 8-12h</w:t>
            </w:r>
            <w:r w:rsidR="00F43551">
              <w:t xml:space="preserve"> </w:t>
            </w:r>
            <w:r w:rsidR="00305023" w:rsidRPr="00F43551">
              <w:rPr>
                <w:vertAlign w:val="superscript"/>
              </w:rPr>
              <w:t>1</w:t>
            </w:r>
          </w:p>
          <w:p w:rsidR="00F43551" w:rsidRDefault="00F43551" w:rsidP="002550B9">
            <w:pPr>
              <w:pStyle w:val="ListParagraph"/>
              <w:numPr>
                <w:ilvl w:val="0"/>
                <w:numId w:val="2"/>
              </w:numPr>
            </w:pPr>
            <w:r w:rsidRPr="00F43551">
              <w:t>GHB is absorbed rapidly and reaches peak plasma concentrations in 20–60 minutes.</w:t>
            </w:r>
            <w:r>
              <w:t xml:space="preserve"> </w:t>
            </w:r>
            <w:r w:rsidRPr="00F43551">
              <w:rPr>
                <w:sz w:val="20"/>
                <w:vertAlign w:val="superscript"/>
              </w:rPr>
              <w:t>3</w:t>
            </w:r>
          </w:p>
        </w:tc>
      </w:tr>
      <w:tr w:rsidR="009A609D" w:rsidTr="00B4706D">
        <w:tc>
          <w:tcPr>
            <w:tcW w:w="1951" w:type="dxa"/>
            <w:shd w:val="clear" w:color="auto" w:fill="244061" w:themeFill="accent1" w:themeFillShade="80"/>
          </w:tcPr>
          <w:p w:rsidR="007B6967" w:rsidRPr="002550B9" w:rsidRDefault="007B6967" w:rsidP="00CE6F24">
            <w:pPr>
              <w:jc w:val="center"/>
              <w:rPr>
                <w:rFonts w:ascii="Trebuchet MS" w:hAnsi="Trebuchet MS"/>
                <w:b/>
              </w:rPr>
            </w:pPr>
          </w:p>
          <w:p w:rsidR="007B6967" w:rsidRPr="002550B9" w:rsidRDefault="007B6967" w:rsidP="00CE6F24">
            <w:pPr>
              <w:jc w:val="center"/>
              <w:rPr>
                <w:rFonts w:ascii="Trebuchet MS" w:hAnsi="Trebuchet MS"/>
                <w:b/>
              </w:rPr>
            </w:pPr>
          </w:p>
          <w:p w:rsidR="007B6967" w:rsidRPr="002550B9" w:rsidRDefault="007B6967" w:rsidP="00CE6F24">
            <w:pPr>
              <w:jc w:val="center"/>
              <w:rPr>
                <w:rFonts w:ascii="Trebuchet MS" w:hAnsi="Trebuchet MS"/>
                <w:b/>
              </w:rPr>
            </w:pPr>
          </w:p>
          <w:p w:rsidR="007B6967" w:rsidRPr="002550B9" w:rsidRDefault="007B6967" w:rsidP="00CE6F24">
            <w:pPr>
              <w:jc w:val="center"/>
              <w:rPr>
                <w:rFonts w:ascii="Trebuchet MS" w:hAnsi="Trebuchet MS"/>
                <w:b/>
              </w:rPr>
            </w:pPr>
          </w:p>
          <w:p w:rsidR="007B6967" w:rsidRPr="002550B9" w:rsidRDefault="007B6967" w:rsidP="00CE6F24">
            <w:pPr>
              <w:jc w:val="center"/>
              <w:rPr>
                <w:rFonts w:ascii="Trebuchet MS" w:hAnsi="Trebuchet MS"/>
                <w:b/>
              </w:rPr>
            </w:pPr>
          </w:p>
          <w:p w:rsidR="009A609D" w:rsidRPr="002550B9" w:rsidRDefault="009A609D" w:rsidP="00CE6F24">
            <w:pPr>
              <w:jc w:val="center"/>
              <w:rPr>
                <w:rFonts w:ascii="Trebuchet MS" w:hAnsi="Trebuchet MS"/>
                <w:b/>
              </w:rPr>
            </w:pPr>
            <w:r w:rsidRPr="002550B9">
              <w:rPr>
                <w:rFonts w:ascii="Trebuchet MS" w:hAnsi="Trebuchet MS"/>
                <w:b/>
              </w:rPr>
              <w:t>Presentation</w:t>
            </w:r>
            <w:r w:rsidR="002550B9">
              <w:rPr>
                <w:rFonts w:ascii="Trebuchet MS" w:hAnsi="Trebuchet MS"/>
                <w:b/>
              </w:rPr>
              <w:t xml:space="preserve"> during intoxication</w:t>
            </w:r>
          </w:p>
          <w:p w:rsidR="007E582E" w:rsidRPr="002550B9" w:rsidRDefault="007B6967" w:rsidP="007B6967">
            <w:pPr>
              <w:jc w:val="center"/>
              <w:rPr>
                <w:rFonts w:ascii="Trebuchet MS" w:hAnsi="Trebuchet MS"/>
                <w:color w:val="8DB3E2" w:themeColor="text2" w:themeTint="66"/>
              </w:rPr>
            </w:pPr>
            <w:r w:rsidRPr="002550B9">
              <w:rPr>
                <w:rFonts w:ascii="Trebuchet MS" w:hAnsi="Trebuchet MS"/>
              </w:rPr>
              <w:t>(S</w:t>
            </w:r>
            <w:r w:rsidR="007E582E" w:rsidRPr="002550B9">
              <w:rPr>
                <w:rFonts w:ascii="Trebuchet MS" w:hAnsi="Trebuchet MS"/>
              </w:rPr>
              <w:t>ymptoms usually resolve within 7 hours, but dizziness can persist up to 2 weeks)</w:t>
            </w:r>
          </w:p>
        </w:tc>
        <w:tc>
          <w:tcPr>
            <w:tcW w:w="8930" w:type="dxa"/>
          </w:tcPr>
          <w:p w:rsidR="007B6967" w:rsidRDefault="00B4706D">
            <w:pPr>
              <w:rPr>
                <w:b/>
                <w:vertAlign w:val="superscript"/>
              </w:rPr>
            </w:pPr>
            <w:r>
              <w:rPr>
                <w:b/>
              </w:rPr>
              <w:t xml:space="preserve">Common signs and symptoms during intoxication can include </w:t>
            </w:r>
            <w:r w:rsidR="007B6967" w:rsidRPr="007B6967">
              <w:rPr>
                <w:b/>
                <w:vertAlign w:val="superscript"/>
              </w:rPr>
              <w:t>3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63"/>
              <w:gridCol w:w="2835"/>
              <w:gridCol w:w="2552"/>
            </w:tblGrid>
            <w:tr w:rsidR="007B6967" w:rsidTr="007B6967">
              <w:tc>
                <w:tcPr>
                  <w:tcW w:w="2863" w:type="dxa"/>
                </w:tcPr>
                <w:p w:rsidR="007B6967" w:rsidRDefault="007B6967" w:rsidP="00066532">
                  <w:r>
                    <w:t>Disinhibition</w:t>
                  </w:r>
                </w:p>
              </w:tc>
              <w:tc>
                <w:tcPr>
                  <w:tcW w:w="2835" w:type="dxa"/>
                </w:tcPr>
                <w:p w:rsidR="007B6967" w:rsidRDefault="007B6967" w:rsidP="00066532">
                  <w:r>
                    <w:t>Confusion</w:t>
                  </w:r>
                </w:p>
              </w:tc>
              <w:tc>
                <w:tcPr>
                  <w:tcW w:w="2552" w:type="dxa"/>
                </w:tcPr>
                <w:p w:rsidR="007B6967" w:rsidRDefault="007B6967" w:rsidP="00066532">
                  <w:r>
                    <w:t>Amnesia</w:t>
                  </w:r>
                </w:p>
              </w:tc>
            </w:tr>
            <w:tr w:rsidR="007B6967" w:rsidTr="007B6967">
              <w:tc>
                <w:tcPr>
                  <w:tcW w:w="2863" w:type="dxa"/>
                </w:tcPr>
                <w:p w:rsidR="007B6967" w:rsidRDefault="007B6967" w:rsidP="00066532">
                  <w:r>
                    <w:t>Euphoria</w:t>
                  </w:r>
                </w:p>
              </w:tc>
              <w:tc>
                <w:tcPr>
                  <w:tcW w:w="2835" w:type="dxa"/>
                </w:tcPr>
                <w:p w:rsidR="007B6967" w:rsidRDefault="007B6967" w:rsidP="00066532">
                  <w:r>
                    <w:t>Hallucinations</w:t>
                  </w:r>
                </w:p>
              </w:tc>
              <w:tc>
                <w:tcPr>
                  <w:tcW w:w="2552" w:type="dxa"/>
                </w:tcPr>
                <w:p w:rsidR="007B6967" w:rsidRDefault="007B6967" w:rsidP="00066532">
                  <w:r>
                    <w:t>Agitation</w:t>
                  </w:r>
                </w:p>
              </w:tc>
            </w:tr>
            <w:tr w:rsidR="007B6967" w:rsidTr="007B6967">
              <w:tc>
                <w:tcPr>
                  <w:tcW w:w="2863" w:type="dxa"/>
                </w:tcPr>
                <w:p w:rsidR="007B6967" w:rsidRDefault="007B6967" w:rsidP="00066532">
                  <w:r>
                    <w:t xml:space="preserve">Placidity </w:t>
                  </w:r>
                </w:p>
              </w:tc>
              <w:tc>
                <w:tcPr>
                  <w:tcW w:w="2835" w:type="dxa"/>
                </w:tcPr>
                <w:p w:rsidR="007B6967" w:rsidRDefault="007B6967" w:rsidP="00066532">
                  <w:r>
                    <w:t>Feeling of well-being</w:t>
                  </w:r>
                </w:p>
              </w:tc>
              <w:tc>
                <w:tcPr>
                  <w:tcW w:w="2552" w:type="dxa"/>
                </w:tcPr>
                <w:p w:rsidR="007B6967" w:rsidRDefault="007B6967" w:rsidP="00066532">
                  <w:r>
                    <w:t>Poor concentration</w:t>
                  </w:r>
                </w:p>
              </w:tc>
            </w:tr>
            <w:tr w:rsidR="007B6967" w:rsidTr="007B6967">
              <w:tc>
                <w:tcPr>
                  <w:tcW w:w="2863" w:type="dxa"/>
                </w:tcPr>
                <w:p w:rsidR="007B6967" w:rsidRDefault="007B6967" w:rsidP="00066532">
                  <w:r>
                    <w:t>Relaxation of voluntary muscles</w:t>
                  </w:r>
                </w:p>
                <w:p w:rsidR="007B6967" w:rsidRDefault="007B6967" w:rsidP="00066532"/>
              </w:tc>
              <w:tc>
                <w:tcPr>
                  <w:tcW w:w="2835" w:type="dxa"/>
                </w:tcPr>
                <w:p w:rsidR="007B6967" w:rsidRDefault="007B6967" w:rsidP="00066532">
                  <w:pPr>
                    <w:pStyle w:val="ListParagraph"/>
                    <w:ind w:left="1080"/>
                  </w:pPr>
                </w:p>
              </w:tc>
              <w:tc>
                <w:tcPr>
                  <w:tcW w:w="2552" w:type="dxa"/>
                </w:tcPr>
                <w:p w:rsidR="007B6967" w:rsidRDefault="007B6967" w:rsidP="00066532">
                  <w:pPr>
                    <w:pStyle w:val="ListParagraph"/>
                    <w:ind w:left="1080"/>
                  </w:pPr>
                </w:p>
              </w:tc>
            </w:tr>
          </w:tbl>
          <w:p w:rsidR="007E582E" w:rsidRDefault="007E582E" w:rsidP="007E582E">
            <w:pPr>
              <w:rPr>
                <w:b/>
                <w:vertAlign w:val="superscript"/>
              </w:rPr>
            </w:pPr>
            <w:r w:rsidRPr="007B6967">
              <w:rPr>
                <w:b/>
              </w:rPr>
              <w:t>Adverse reactions</w:t>
            </w:r>
            <w:r w:rsidR="00B4706D">
              <w:rPr>
                <w:b/>
              </w:rPr>
              <w:t xml:space="preserve"> may</w:t>
            </w:r>
            <w:r w:rsidRPr="007B6967">
              <w:rPr>
                <w:b/>
              </w:rPr>
              <w:t xml:space="preserve"> include</w:t>
            </w:r>
            <w:r w:rsidR="007B6967" w:rsidRPr="007B6967">
              <w:rPr>
                <w:b/>
                <w:vertAlign w:val="superscript"/>
              </w:rPr>
              <w:t>3</w:t>
            </w:r>
          </w:p>
          <w:tbl>
            <w:tblPr>
              <w:tblStyle w:val="TableGrid"/>
              <w:tblW w:w="86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99"/>
              <w:gridCol w:w="2899"/>
              <w:gridCol w:w="2899"/>
            </w:tblGrid>
            <w:tr w:rsidR="00066532" w:rsidTr="00066532">
              <w:tc>
                <w:tcPr>
                  <w:tcW w:w="2899" w:type="dxa"/>
                </w:tcPr>
                <w:p w:rsidR="00066532" w:rsidRDefault="00066532" w:rsidP="00066532">
                  <w:r>
                    <w:t>Drowsiness</w:t>
                  </w:r>
                </w:p>
              </w:tc>
              <w:tc>
                <w:tcPr>
                  <w:tcW w:w="2899" w:type="dxa"/>
                </w:tcPr>
                <w:p w:rsidR="00066532" w:rsidRDefault="00066532" w:rsidP="00066532">
                  <w:r>
                    <w:t>Headache</w:t>
                  </w:r>
                </w:p>
              </w:tc>
              <w:tc>
                <w:tcPr>
                  <w:tcW w:w="2899" w:type="dxa"/>
                </w:tcPr>
                <w:p w:rsidR="00066532" w:rsidRDefault="00066532" w:rsidP="00066532">
                  <w:r>
                    <w:t>Ataxia</w:t>
                  </w:r>
                </w:p>
              </w:tc>
            </w:tr>
            <w:tr w:rsidR="00066532" w:rsidTr="00066532">
              <w:tc>
                <w:tcPr>
                  <w:tcW w:w="2899" w:type="dxa"/>
                </w:tcPr>
                <w:p w:rsidR="00066532" w:rsidRDefault="00066532" w:rsidP="00066532">
                  <w:r>
                    <w:t>Dizziness</w:t>
                  </w:r>
                </w:p>
              </w:tc>
              <w:tc>
                <w:tcPr>
                  <w:tcW w:w="2899" w:type="dxa"/>
                </w:tcPr>
                <w:p w:rsidR="00066532" w:rsidRDefault="00066532" w:rsidP="00066532">
                  <w:r>
                    <w:t>Hypotension</w:t>
                  </w:r>
                </w:p>
              </w:tc>
              <w:tc>
                <w:tcPr>
                  <w:tcW w:w="2899" w:type="dxa"/>
                </w:tcPr>
                <w:p w:rsidR="00066532" w:rsidRDefault="00066532" w:rsidP="00066532">
                  <w:r>
                    <w:t>Nystagmus</w:t>
                  </w:r>
                </w:p>
              </w:tc>
            </w:tr>
            <w:tr w:rsidR="00066532" w:rsidTr="00066532">
              <w:tc>
                <w:tcPr>
                  <w:tcW w:w="2899" w:type="dxa"/>
                </w:tcPr>
                <w:p w:rsidR="00066532" w:rsidRDefault="00066532" w:rsidP="00066532">
                  <w:r>
                    <w:t>Nausea</w:t>
                  </w:r>
                </w:p>
              </w:tc>
              <w:tc>
                <w:tcPr>
                  <w:tcW w:w="2899" w:type="dxa"/>
                </w:tcPr>
                <w:p w:rsidR="00066532" w:rsidRDefault="00066532" w:rsidP="00066532">
                  <w:r>
                    <w:t>Bradycardia</w:t>
                  </w:r>
                </w:p>
              </w:tc>
              <w:tc>
                <w:tcPr>
                  <w:tcW w:w="2899" w:type="dxa"/>
                </w:tcPr>
                <w:p w:rsidR="00066532" w:rsidRDefault="00066532" w:rsidP="00066532">
                  <w:proofErr w:type="spellStart"/>
                  <w:r>
                    <w:t>Hypotonia</w:t>
                  </w:r>
                  <w:proofErr w:type="spellEnd"/>
                </w:p>
              </w:tc>
            </w:tr>
            <w:tr w:rsidR="00066532" w:rsidTr="00066532">
              <w:tc>
                <w:tcPr>
                  <w:tcW w:w="2899" w:type="dxa"/>
                </w:tcPr>
                <w:p w:rsidR="00066532" w:rsidRDefault="00066532" w:rsidP="00066532">
                  <w:r>
                    <w:t>Vomiting</w:t>
                  </w:r>
                </w:p>
              </w:tc>
              <w:tc>
                <w:tcPr>
                  <w:tcW w:w="2899" w:type="dxa"/>
                </w:tcPr>
                <w:p w:rsidR="00066532" w:rsidRDefault="00066532" w:rsidP="00066532">
                  <w:r>
                    <w:t>Hypothermia</w:t>
                  </w:r>
                </w:p>
              </w:tc>
              <w:tc>
                <w:tcPr>
                  <w:tcW w:w="2899" w:type="dxa"/>
                </w:tcPr>
                <w:p w:rsidR="00066532" w:rsidRDefault="00066532" w:rsidP="00066532">
                  <w:r>
                    <w:t>Tremors</w:t>
                  </w:r>
                </w:p>
              </w:tc>
            </w:tr>
            <w:tr w:rsidR="00066532" w:rsidTr="00066532">
              <w:tc>
                <w:tcPr>
                  <w:tcW w:w="2899" w:type="dxa"/>
                </w:tcPr>
                <w:p w:rsidR="00066532" w:rsidRDefault="00066532" w:rsidP="00066532">
                  <w:r>
                    <w:t>Muscle spasms</w:t>
                  </w:r>
                </w:p>
              </w:tc>
              <w:tc>
                <w:tcPr>
                  <w:tcW w:w="2899" w:type="dxa"/>
                </w:tcPr>
                <w:p w:rsidR="00066532" w:rsidRDefault="00066532" w:rsidP="00066532">
                  <w:r>
                    <w:t>Seizures</w:t>
                  </w:r>
                </w:p>
                <w:p w:rsidR="00066532" w:rsidRDefault="00066532" w:rsidP="00CC53D3"/>
              </w:tc>
              <w:tc>
                <w:tcPr>
                  <w:tcW w:w="2899" w:type="dxa"/>
                </w:tcPr>
                <w:p w:rsidR="00066532" w:rsidRDefault="00066532" w:rsidP="00066532">
                  <w:r>
                    <w:t>Decreased respiration</w:t>
                  </w:r>
                </w:p>
              </w:tc>
            </w:tr>
          </w:tbl>
          <w:p w:rsidR="009F207A" w:rsidRPr="002550B9" w:rsidRDefault="00F36519" w:rsidP="009F207A">
            <w:pPr>
              <w:rPr>
                <w:b/>
              </w:rPr>
            </w:pPr>
            <w:r>
              <w:rPr>
                <w:b/>
              </w:rPr>
              <w:t>Extreme intoxication signs and symptoms may include</w:t>
            </w:r>
            <w:r w:rsidR="002550B9" w:rsidRPr="002550B9">
              <w:rPr>
                <w:b/>
                <w:vertAlign w:val="superscript"/>
              </w:rPr>
              <w:t>3</w:t>
            </w:r>
          </w:p>
          <w:p w:rsidR="007E582E" w:rsidRPr="00F36519" w:rsidRDefault="00F36519" w:rsidP="00066532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B</w:t>
            </w:r>
            <w:r w:rsidR="009F207A">
              <w:t xml:space="preserve">radycardia, seizures, apnea, sudden (reversible) comma with abrupt awakening and </w:t>
            </w:r>
            <w:r>
              <w:t>agitation</w:t>
            </w:r>
            <w:r w:rsidR="00305023" w:rsidRPr="002550B9">
              <w:rPr>
                <w:vertAlign w:val="superscript"/>
              </w:rPr>
              <w:t>1</w:t>
            </w:r>
          </w:p>
          <w:p w:rsidR="00F36519" w:rsidRDefault="00F36519" w:rsidP="00066532">
            <w:pPr>
              <w:pStyle w:val="ListParagraph"/>
              <w:ind w:left="360"/>
            </w:pPr>
            <w:r>
              <w:t>*Overdoses can occur due to unknown purity and concentration of ingested product</w:t>
            </w:r>
          </w:p>
        </w:tc>
      </w:tr>
      <w:tr w:rsidR="009A609D" w:rsidTr="00B4706D">
        <w:tc>
          <w:tcPr>
            <w:tcW w:w="1951" w:type="dxa"/>
            <w:shd w:val="clear" w:color="auto" w:fill="244061" w:themeFill="accent1" w:themeFillShade="80"/>
          </w:tcPr>
          <w:p w:rsidR="002550B9" w:rsidRPr="002550B9" w:rsidRDefault="002550B9" w:rsidP="00CE6F24">
            <w:pPr>
              <w:jc w:val="center"/>
              <w:rPr>
                <w:rFonts w:ascii="Trebuchet MS" w:hAnsi="Trebuchet MS"/>
                <w:b/>
              </w:rPr>
            </w:pPr>
          </w:p>
          <w:p w:rsidR="002550B9" w:rsidRDefault="002550B9" w:rsidP="00CE6F24">
            <w:pPr>
              <w:jc w:val="center"/>
              <w:rPr>
                <w:rFonts w:ascii="Trebuchet MS" w:hAnsi="Trebuchet MS"/>
                <w:b/>
              </w:rPr>
            </w:pPr>
          </w:p>
          <w:p w:rsidR="00560831" w:rsidRDefault="00560831" w:rsidP="00CE6F24">
            <w:pPr>
              <w:jc w:val="center"/>
              <w:rPr>
                <w:rFonts w:ascii="Trebuchet MS" w:hAnsi="Trebuchet MS"/>
                <w:b/>
              </w:rPr>
            </w:pPr>
          </w:p>
          <w:p w:rsidR="00560831" w:rsidRDefault="00560831" w:rsidP="00CE6F24">
            <w:pPr>
              <w:jc w:val="center"/>
              <w:rPr>
                <w:rFonts w:ascii="Trebuchet MS" w:hAnsi="Trebuchet MS"/>
                <w:b/>
              </w:rPr>
            </w:pPr>
          </w:p>
          <w:p w:rsidR="00B426BC" w:rsidRPr="002550B9" w:rsidRDefault="00B426BC" w:rsidP="00CE6F24">
            <w:pPr>
              <w:jc w:val="center"/>
              <w:rPr>
                <w:rFonts w:ascii="Trebuchet MS" w:hAnsi="Trebuchet MS"/>
                <w:b/>
              </w:rPr>
            </w:pPr>
          </w:p>
          <w:p w:rsidR="009A609D" w:rsidRDefault="009A609D" w:rsidP="00CE6F24">
            <w:pPr>
              <w:jc w:val="center"/>
              <w:rPr>
                <w:rFonts w:ascii="Trebuchet MS" w:hAnsi="Trebuchet MS"/>
                <w:b/>
              </w:rPr>
            </w:pPr>
            <w:r w:rsidRPr="002550B9">
              <w:rPr>
                <w:rFonts w:ascii="Trebuchet MS" w:hAnsi="Trebuchet MS"/>
                <w:b/>
              </w:rPr>
              <w:t>Monitoring and support during intoxication</w:t>
            </w:r>
          </w:p>
          <w:p w:rsidR="00560831" w:rsidRDefault="00560831" w:rsidP="00CE6F24">
            <w:pPr>
              <w:jc w:val="center"/>
              <w:rPr>
                <w:rFonts w:ascii="Trebuchet MS" w:hAnsi="Trebuchet MS"/>
                <w:b/>
              </w:rPr>
            </w:pPr>
          </w:p>
          <w:p w:rsidR="00560831" w:rsidRDefault="00560831" w:rsidP="00CE6F24">
            <w:pPr>
              <w:jc w:val="center"/>
              <w:rPr>
                <w:rFonts w:ascii="Trebuchet MS" w:hAnsi="Trebuchet MS"/>
                <w:b/>
              </w:rPr>
            </w:pPr>
          </w:p>
          <w:p w:rsidR="00560831" w:rsidRDefault="00560831" w:rsidP="00CE6F24">
            <w:pPr>
              <w:jc w:val="center"/>
              <w:rPr>
                <w:rFonts w:ascii="Trebuchet MS" w:hAnsi="Trebuchet MS"/>
                <w:b/>
              </w:rPr>
            </w:pPr>
          </w:p>
          <w:p w:rsidR="00560831" w:rsidRDefault="00560831" w:rsidP="00CE6F24">
            <w:pPr>
              <w:jc w:val="center"/>
              <w:rPr>
                <w:rFonts w:ascii="Trebuchet MS" w:hAnsi="Trebuchet MS"/>
                <w:b/>
              </w:rPr>
            </w:pPr>
          </w:p>
          <w:p w:rsidR="00560831" w:rsidRDefault="00560831" w:rsidP="00CE6F24">
            <w:pPr>
              <w:jc w:val="center"/>
              <w:rPr>
                <w:rFonts w:ascii="Trebuchet MS" w:hAnsi="Trebuchet MS"/>
                <w:b/>
              </w:rPr>
            </w:pPr>
          </w:p>
          <w:p w:rsidR="00560831" w:rsidRDefault="00560831" w:rsidP="00CE6F24">
            <w:pPr>
              <w:jc w:val="center"/>
              <w:rPr>
                <w:rFonts w:ascii="Trebuchet MS" w:hAnsi="Trebuchet MS"/>
                <w:b/>
              </w:rPr>
            </w:pPr>
            <w:r w:rsidRPr="002550B9">
              <w:rPr>
                <w:rFonts w:ascii="Trebuchet MS" w:hAnsi="Trebuchet MS"/>
                <w:b/>
              </w:rPr>
              <w:lastRenderedPageBreak/>
              <w:t>Monitoring and support during intoxication</w:t>
            </w:r>
          </w:p>
          <w:p w:rsidR="00560831" w:rsidRPr="00560831" w:rsidRDefault="00560831" w:rsidP="00CE6F24">
            <w:pPr>
              <w:jc w:val="center"/>
              <w:rPr>
                <w:rFonts w:ascii="Trebuchet MS" w:hAnsi="Trebuchet MS"/>
                <w:i/>
              </w:rPr>
            </w:pPr>
            <w:r w:rsidRPr="00560831">
              <w:rPr>
                <w:rFonts w:ascii="Trebuchet MS" w:hAnsi="Trebuchet MS"/>
              </w:rPr>
              <w:t>(</w:t>
            </w:r>
            <w:r w:rsidRPr="00560831">
              <w:rPr>
                <w:rFonts w:ascii="Trebuchet MS" w:hAnsi="Trebuchet MS"/>
                <w:i/>
              </w:rPr>
              <w:t>Continued)</w:t>
            </w:r>
          </w:p>
        </w:tc>
        <w:tc>
          <w:tcPr>
            <w:tcW w:w="8930" w:type="dxa"/>
          </w:tcPr>
          <w:p w:rsidR="00F36519" w:rsidRPr="00F36519" w:rsidRDefault="00F36519" w:rsidP="00F36519">
            <w:pPr>
              <w:rPr>
                <w:b/>
                <w:vertAlign w:val="superscript"/>
              </w:rPr>
            </w:pPr>
            <w:r w:rsidRPr="00F36519">
              <w:rPr>
                <w:b/>
              </w:rPr>
              <w:lastRenderedPageBreak/>
              <w:t>Goal</w:t>
            </w:r>
            <w:r w:rsidRPr="00F36519">
              <w:rPr>
                <w:b/>
                <w:vertAlign w:val="superscript"/>
              </w:rPr>
              <w:t>11</w:t>
            </w:r>
          </w:p>
          <w:p w:rsidR="00F36519" w:rsidRDefault="00F36519" w:rsidP="00F36519">
            <w:pPr>
              <w:pStyle w:val="ListParagraph"/>
              <w:numPr>
                <w:ilvl w:val="0"/>
                <w:numId w:val="1"/>
              </w:numPr>
            </w:pPr>
            <w:r w:rsidRPr="00F36519">
              <w:t xml:space="preserve">Prevent severe respiratory depression </w:t>
            </w:r>
          </w:p>
          <w:p w:rsidR="00F36519" w:rsidRDefault="00F36519" w:rsidP="00F36519"/>
          <w:p w:rsidR="00F36519" w:rsidRPr="00F36519" w:rsidRDefault="00F36519" w:rsidP="00F36519">
            <w:pPr>
              <w:rPr>
                <w:b/>
                <w:vertAlign w:val="superscript"/>
              </w:rPr>
            </w:pPr>
            <w:r w:rsidRPr="00F36519">
              <w:rPr>
                <w:b/>
              </w:rPr>
              <w:t>Monitor</w:t>
            </w:r>
            <w:r w:rsidRPr="00F36519">
              <w:rPr>
                <w:b/>
                <w:vertAlign w:val="superscript"/>
              </w:rPr>
              <w:t>1,2,3,4,11</w:t>
            </w:r>
          </w:p>
          <w:p w:rsidR="00F36519" w:rsidRPr="00F36519" w:rsidRDefault="00F36519" w:rsidP="00F36519">
            <w:pPr>
              <w:pStyle w:val="ListParagraph"/>
              <w:numPr>
                <w:ilvl w:val="0"/>
                <w:numId w:val="1"/>
              </w:numPr>
            </w:pPr>
            <w:r w:rsidRPr="00F36519">
              <w:t>Assess level of disorientation and if possible time of last ingestion and amount consumed</w:t>
            </w:r>
          </w:p>
          <w:p w:rsidR="00F36519" w:rsidRPr="00F36519" w:rsidRDefault="00F36519" w:rsidP="00F36519">
            <w:pPr>
              <w:pStyle w:val="ListParagraph"/>
              <w:numPr>
                <w:ilvl w:val="0"/>
                <w:numId w:val="1"/>
              </w:numPr>
            </w:pPr>
            <w:r w:rsidRPr="00F36519">
              <w:t>Monitor for falls risk</w:t>
            </w:r>
          </w:p>
          <w:p w:rsidR="00F36519" w:rsidRPr="00F36519" w:rsidRDefault="00F36519" w:rsidP="00F36519">
            <w:pPr>
              <w:pStyle w:val="ListParagraph"/>
              <w:numPr>
                <w:ilvl w:val="0"/>
                <w:numId w:val="1"/>
              </w:numPr>
            </w:pPr>
            <w:r w:rsidRPr="00F36519">
              <w:t xml:space="preserve">Monitor vitals every 15 minutes initially and less frequently as acute symptoms subside </w:t>
            </w:r>
          </w:p>
          <w:p w:rsidR="00F36519" w:rsidRPr="00F36519" w:rsidRDefault="00F36519" w:rsidP="00F36519">
            <w:pPr>
              <w:pStyle w:val="ListParagraph"/>
              <w:numPr>
                <w:ilvl w:val="0"/>
                <w:numId w:val="1"/>
              </w:numPr>
              <w:rPr>
                <w:vertAlign w:val="superscript"/>
              </w:rPr>
            </w:pPr>
            <w:r w:rsidRPr="00F36519">
              <w:t>E</w:t>
            </w:r>
            <w:r w:rsidR="00C32362" w:rsidRPr="00F36519">
              <w:t>nsuring adequate respirat</w:t>
            </w:r>
            <w:r w:rsidR="00305023" w:rsidRPr="00F36519">
              <w:t xml:space="preserve">ory function </w:t>
            </w:r>
          </w:p>
          <w:p w:rsidR="0087543F" w:rsidRPr="00F36519" w:rsidRDefault="0087543F" w:rsidP="00F36519">
            <w:pPr>
              <w:pStyle w:val="ListParagraph"/>
              <w:numPr>
                <w:ilvl w:val="0"/>
                <w:numId w:val="1"/>
              </w:numPr>
              <w:rPr>
                <w:vertAlign w:val="superscript"/>
              </w:rPr>
            </w:pPr>
            <w:r w:rsidRPr="00F36519">
              <w:t>Maintain comprehensive physiological and cardiac monitoring</w:t>
            </w:r>
            <w:r w:rsidR="00F43551" w:rsidRPr="00F36519">
              <w:t xml:space="preserve"> </w:t>
            </w:r>
          </w:p>
          <w:p w:rsidR="00F36519" w:rsidRPr="00F36519" w:rsidRDefault="00F36519" w:rsidP="00F36519">
            <w:pPr>
              <w:rPr>
                <w:b/>
              </w:rPr>
            </w:pPr>
            <w:r w:rsidRPr="00F36519">
              <w:rPr>
                <w:b/>
              </w:rPr>
              <w:t xml:space="preserve">Supportive Interventions </w:t>
            </w:r>
          </w:p>
          <w:p w:rsidR="00F36519" w:rsidRPr="00F36519" w:rsidRDefault="00F36519" w:rsidP="00F36519">
            <w:pPr>
              <w:pStyle w:val="ListParagraph"/>
              <w:numPr>
                <w:ilvl w:val="0"/>
                <w:numId w:val="1"/>
              </w:numPr>
            </w:pPr>
            <w:r w:rsidRPr="00F36519">
              <w:t>Ensure a quiet private space</w:t>
            </w:r>
          </w:p>
          <w:p w:rsidR="00F36519" w:rsidRPr="00F36519" w:rsidRDefault="00F36519" w:rsidP="00F36519">
            <w:pPr>
              <w:pStyle w:val="ListParagraph"/>
              <w:numPr>
                <w:ilvl w:val="0"/>
                <w:numId w:val="1"/>
              </w:numPr>
            </w:pPr>
            <w:r w:rsidRPr="00F36519">
              <w:t xml:space="preserve">Frequently orient client to reality and surroundings </w:t>
            </w:r>
          </w:p>
          <w:p w:rsidR="00F36519" w:rsidRPr="00F36519" w:rsidRDefault="00F36519" w:rsidP="00F36519">
            <w:pPr>
              <w:pStyle w:val="ListParagraph"/>
              <w:numPr>
                <w:ilvl w:val="0"/>
                <w:numId w:val="1"/>
              </w:numPr>
            </w:pPr>
            <w:r w:rsidRPr="00F36519">
              <w:lastRenderedPageBreak/>
              <w:t xml:space="preserve">Promote fluid and food intake as tolerated </w:t>
            </w:r>
          </w:p>
          <w:p w:rsidR="0087543F" w:rsidRPr="00F36519" w:rsidRDefault="0087543F" w:rsidP="00F36519">
            <w:pPr>
              <w:pStyle w:val="ListParagraph"/>
              <w:numPr>
                <w:ilvl w:val="0"/>
                <w:numId w:val="1"/>
              </w:numPr>
            </w:pPr>
            <w:r w:rsidRPr="00F36519">
              <w:t>Atropine may be used for persistent symptomatic bradycardia</w:t>
            </w:r>
            <w:r w:rsidR="00F43551" w:rsidRPr="00F36519">
              <w:t xml:space="preserve"> </w:t>
            </w:r>
          </w:p>
          <w:p w:rsidR="0087543F" w:rsidRPr="00F36519" w:rsidRDefault="0087543F" w:rsidP="00F36519">
            <w:pPr>
              <w:pStyle w:val="ListParagraph"/>
              <w:numPr>
                <w:ilvl w:val="0"/>
                <w:numId w:val="1"/>
              </w:numPr>
            </w:pPr>
            <w:r w:rsidRPr="00F36519">
              <w:t xml:space="preserve">If breathing is laboured, </w:t>
            </w:r>
            <w:r w:rsidR="00F43551" w:rsidRPr="00F36519">
              <w:t>refer to an intensive care unit</w:t>
            </w:r>
            <w:r w:rsidRPr="00F36519">
              <w:t>.</w:t>
            </w:r>
            <w:r w:rsidR="00F43551" w:rsidRPr="00F36519">
              <w:t xml:space="preserve"> </w:t>
            </w:r>
          </w:p>
          <w:p w:rsidR="009A609D" w:rsidRPr="00F36519" w:rsidRDefault="00D13EFB" w:rsidP="00F36519">
            <w:pPr>
              <w:pStyle w:val="ListParagraph"/>
              <w:numPr>
                <w:ilvl w:val="0"/>
                <w:numId w:val="1"/>
              </w:numPr>
            </w:pPr>
            <w:r w:rsidRPr="00F36519">
              <w:t>No known</w:t>
            </w:r>
            <w:r w:rsidR="0087543F" w:rsidRPr="00F36519">
              <w:t xml:space="preserve"> antidote </w:t>
            </w:r>
            <w:r w:rsidRPr="00F36519">
              <w:t xml:space="preserve"> </w:t>
            </w:r>
            <w:r w:rsidR="00C32362" w:rsidRPr="00F36519">
              <w:t xml:space="preserve">for toxicity </w:t>
            </w:r>
          </w:p>
          <w:p w:rsidR="00B426BC" w:rsidRDefault="00B426BC" w:rsidP="00B426BC">
            <w:pPr>
              <w:pStyle w:val="ListParagraph"/>
            </w:pPr>
          </w:p>
        </w:tc>
      </w:tr>
      <w:tr w:rsidR="009A609D" w:rsidRPr="00AF3500" w:rsidTr="00B4706D">
        <w:tc>
          <w:tcPr>
            <w:tcW w:w="1951" w:type="dxa"/>
            <w:shd w:val="clear" w:color="auto" w:fill="244061" w:themeFill="accent1" w:themeFillShade="80"/>
          </w:tcPr>
          <w:p w:rsidR="009A609D" w:rsidRPr="002550B9" w:rsidRDefault="009A609D" w:rsidP="00CE6F24">
            <w:pPr>
              <w:jc w:val="center"/>
              <w:rPr>
                <w:rFonts w:ascii="Trebuchet MS" w:hAnsi="Trebuchet MS"/>
                <w:b/>
              </w:rPr>
            </w:pPr>
            <w:r w:rsidRPr="002550B9">
              <w:rPr>
                <w:rFonts w:ascii="Trebuchet MS" w:hAnsi="Trebuchet MS"/>
                <w:b/>
              </w:rPr>
              <w:lastRenderedPageBreak/>
              <w:t>Withdrawal presentation</w:t>
            </w:r>
            <w:r w:rsidR="002550B9" w:rsidRPr="002550B9">
              <w:rPr>
                <w:rFonts w:ascii="Trebuchet MS" w:hAnsi="Trebuchet MS"/>
                <w:vertAlign w:val="superscript"/>
              </w:rPr>
              <w:t>1</w:t>
            </w:r>
          </w:p>
          <w:p w:rsidR="00D13EFB" w:rsidRPr="002550B9" w:rsidRDefault="00D13EFB" w:rsidP="00560831">
            <w:pPr>
              <w:jc w:val="center"/>
              <w:rPr>
                <w:rFonts w:ascii="Trebuchet MS" w:hAnsi="Trebuchet MS"/>
              </w:rPr>
            </w:pPr>
            <w:r w:rsidRPr="002550B9">
              <w:rPr>
                <w:rFonts w:ascii="Trebuchet MS" w:hAnsi="Trebuchet MS"/>
              </w:rPr>
              <w:t>symptoms occur 1-6 hours after abrupt cessation and can last 5-15 days after chronic use</w:t>
            </w:r>
          </w:p>
        </w:tc>
        <w:tc>
          <w:tcPr>
            <w:tcW w:w="8930" w:type="dxa"/>
          </w:tcPr>
          <w:p w:rsidR="004E5B45" w:rsidRDefault="004E5B45">
            <w:pPr>
              <w:rPr>
                <w:b/>
                <w:vertAlign w:val="superscript"/>
              </w:rPr>
            </w:pPr>
            <w:r w:rsidRPr="004E5B45">
              <w:rPr>
                <w:b/>
              </w:rPr>
              <w:t>Symptoms may include</w:t>
            </w:r>
            <w:r w:rsidRPr="004E5B45">
              <w:rPr>
                <w:b/>
                <w:vertAlign w:val="superscript"/>
              </w:rPr>
              <w:t>1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5"/>
              <w:gridCol w:w="2805"/>
              <w:gridCol w:w="2805"/>
            </w:tblGrid>
            <w:tr w:rsidR="002550B9" w:rsidTr="002550B9">
              <w:tc>
                <w:tcPr>
                  <w:tcW w:w="2805" w:type="dxa"/>
                </w:tcPr>
                <w:p w:rsidR="002550B9" w:rsidRDefault="002550B9" w:rsidP="00066532">
                  <w:pPr>
                    <w:ind w:left="360"/>
                  </w:pPr>
                  <w:r w:rsidRPr="002550B9">
                    <w:t>Nausea</w:t>
                  </w:r>
                </w:p>
              </w:tc>
              <w:tc>
                <w:tcPr>
                  <w:tcW w:w="2805" w:type="dxa"/>
                </w:tcPr>
                <w:p w:rsidR="002550B9" w:rsidRDefault="002550B9" w:rsidP="00066532">
                  <w:pPr>
                    <w:ind w:left="360"/>
                  </w:pPr>
                  <w:r w:rsidRPr="002550B9">
                    <w:t>Insomnia</w:t>
                  </w:r>
                </w:p>
              </w:tc>
              <w:tc>
                <w:tcPr>
                  <w:tcW w:w="2805" w:type="dxa"/>
                </w:tcPr>
                <w:p w:rsidR="002550B9" w:rsidRDefault="002550B9" w:rsidP="00066532">
                  <w:pPr>
                    <w:ind w:left="360"/>
                  </w:pPr>
                  <w:r w:rsidRPr="002550B9">
                    <w:t>Confusion</w:t>
                  </w:r>
                </w:p>
              </w:tc>
            </w:tr>
            <w:tr w:rsidR="002550B9" w:rsidTr="002550B9">
              <w:tc>
                <w:tcPr>
                  <w:tcW w:w="2805" w:type="dxa"/>
                </w:tcPr>
                <w:p w:rsidR="002550B9" w:rsidRDefault="002550B9" w:rsidP="00066532">
                  <w:pPr>
                    <w:ind w:left="360"/>
                  </w:pPr>
                  <w:r w:rsidRPr="002550B9">
                    <w:t>Vomiting</w:t>
                  </w:r>
                </w:p>
              </w:tc>
              <w:tc>
                <w:tcPr>
                  <w:tcW w:w="2805" w:type="dxa"/>
                </w:tcPr>
                <w:p w:rsidR="002550B9" w:rsidRDefault="002550B9" w:rsidP="00066532">
                  <w:pPr>
                    <w:ind w:left="360"/>
                  </w:pPr>
                  <w:r w:rsidRPr="002550B9">
                    <w:t>Anxiety</w:t>
                  </w:r>
                </w:p>
              </w:tc>
              <w:tc>
                <w:tcPr>
                  <w:tcW w:w="2805" w:type="dxa"/>
                </w:tcPr>
                <w:p w:rsidR="002550B9" w:rsidRDefault="002550B9" w:rsidP="00066532">
                  <w:pPr>
                    <w:ind w:left="360"/>
                  </w:pPr>
                  <w:r w:rsidRPr="002550B9">
                    <w:t xml:space="preserve">Tremor </w:t>
                  </w:r>
                </w:p>
              </w:tc>
            </w:tr>
          </w:tbl>
          <w:p w:rsidR="00066532" w:rsidRDefault="00066532" w:rsidP="00D13EFB">
            <w:pPr>
              <w:rPr>
                <w:b/>
              </w:rPr>
            </w:pPr>
          </w:p>
          <w:p w:rsidR="00D13EFB" w:rsidRPr="002550B9" w:rsidRDefault="00D13EFB" w:rsidP="00D13EFB">
            <w:pPr>
              <w:rPr>
                <w:b/>
              </w:rPr>
            </w:pPr>
            <w:r w:rsidRPr="002550B9">
              <w:rPr>
                <w:b/>
              </w:rPr>
              <w:t>After chronic use</w:t>
            </w:r>
            <w:r w:rsidR="002550B9" w:rsidRPr="002550B9">
              <w:rPr>
                <w:b/>
                <w:vertAlign w:val="superscript"/>
              </w:rPr>
              <w:t>1</w:t>
            </w:r>
          </w:p>
          <w:p w:rsidR="00D13EFB" w:rsidRPr="002550B9" w:rsidRDefault="00D13EFB" w:rsidP="00D13EFB">
            <w:pPr>
              <w:pStyle w:val="ListParagraph"/>
              <w:numPr>
                <w:ilvl w:val="0"/>
                <w:numId w:val="7"/>
              </w:numPr>
            </w:pPr>
            <w:r w:rsidRPr="002550B9">
              <w:t>Mild tachycardia and hypertension</w:t>
            </w:r>
          </w:p>
          <w:p w:rsidR="00D13EFB" w:rsidRPr="00D13EFB" w:rsidRDefault="00D13EFB" w:rsidP="00D13EFB">
            <w:pPr>
              <w:pStyle w:val="ListParagraph"/>
              <w:numPr>
                <w:ilvl w:val="0"/>
                <w:numId w:val="7"/>
              </w:numPr>
              <w:rPr>
                <w:color w:val="B2A1C7" w:themeColor="accent4" w:themeTint="99"/>
              </w:rPr>
            </w:pPr>
            <w:r w:rsidRPr="002550B9">
              <w:t>Can progress to delirium with auditory and visual hallucinations</w:t>
            </w:r>
            <w:r w:rsidR="00F43551" w:rsidRPr="002550B9">
              <w:t xml:space="preserve"> </w:t>
            </w:r>
          </w:p>
        </w:tc>
      </w:tr>
      <w:tr w:rsidR="009A609D" w:rsidRPr="00AF3500" w:rsidTr="00B4706D">
        <w:tc>
          <w:tcPr>
            <w:tcW w:w="1951" w:type="dxa"/>
            <w:shd w:val="clear" w:color="auto" w:fill="244061" w:themeFill="accent1" w:themeFillShade="80"/>
          </w:tcPr>
          <w:p w:rsidR="00560831" w:rsidRDefault="00560831" w:rsidP="00CE6F24">
            <w:pPr>
              <w:jc w:val="center"/>
              <w:rPr>
                <w:rFonts w:ascii="Trebuchet MS" w:hAnsi="Trebuchet MS"/>
                <w:b/>
              </w:rPr>
            </w:pPr>
          </w:p>
          <w:p w:rsidR="00560831" w:rsidRDefault="00560831" w:rsidP="00CE6F24">
            <w:pPr>
              <w:jc w:val="center"/>
              <w:rPr>
                <w:rFonts w:ascii="Trebuchet MS" w:hAnsi="Trebuchet MS"/>
                <w:b/>
              </w:rPr>
            </w:pPr>
          </w:p>
          <w:p w:rsidR="00560831" w:rsidRDefault="00560831" w:rsidP="00CE6F24">
            <w:pPr>
              <w:jc w:val="center"/>
              <w:rPr>
                <w:rFonts w:ascii="Trebuchet MS" w:hAnsi="Trebuchet MS"/>
                <w:b/>
              </w:rPr>
            </w:pPr>
          </w:p>
          <w:p w:rsidR="009A609D" w:rsidRPr="002550B9" w:rsidRDefault="009A609D" w:rsidP="00CE6F24">
            <w:pPr>
              <w:jc w:val="center"/>
              <w:rPr>
                <w:rFonts w:ascii="Trebuchet MS" w:hAnsi="Trebuchet MS"/>
                <w:b/>
              </w:rPr>
            </w:pPr>
            <w:r w:rsidRPr="002550B9">
              <w:rPr>
                <w:rFonts w:ascii="Trebuchet MS" w:hAnsi="Trebuchet MS"/>
                <w:b/>
              </w:rPr>
              <w:t>Monitoring and support during withdrawal</w:t>
            </w:r>
          </w:p>
        </w:tc>
        <w:tc>
          <w:tcPr>
            <w:tcW w:w="8930" w:type="dxa"/>
          </w:tcPr>
          <w:p w:rsidR="009A609D" w:rsidRPr="004E5B45" w:rsidRDefault="004E5B45" w:rsidP="00504376">
            <w:pPr>
              <w:rPr>
                <w:b/>
                <w:vertAlign w:val="superscript"/>
              </w:rPr>
            </w:pPr>
            <w:r w:rsidRPr="004E5B45">
              <w:rPr>
                <w:b/>
              </w:rPr>
              <w:t>Monitor</w:t>
            </w:r>
            <w:r w:rsidRPr="004E5B45">
              <w:rPr>
                <w:b/>
                <w:vertAlign w:val="superscript"/>
              </w:rPr>
              <w:t>1,11</w:t>
            </w:r>
          </w:p>
          <w:p w:rsidR="004E5B45" w:rsidRPr="004E5B45" w:rsidRDefault="004E5B45" w:rsidP="004E5B45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 w:rsidRPr="004E5B45">
              <w:t>Mental Status (include risk of self-harm and suicide, agitation, anxiety)</w:t>
            </w:r>
          </w:p>
          <w:p w:rsidR="004E5B45" w:rsidRPr="004E5B45" w:rsidRDefault="004E5B45" w:rsidP="004E5B45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 w:rsidRPr="004E5B45">
              <w:t xml:space="preserve">Physical status (vital signs, GI distress, respiratory and </w:t>
            </w:r>
            <w:proofErr w:type="spellStart"/>
            <w:r w:rsidRPr="004E5B45">
              <w:t>cardiological</w:t>
            </w:r>
            <w:proofErr w:type="spellEnd"/>
            <w:r w:rsidRPr="004E5B45">
              <w:t xml:space="preserve"> function)</w:t>
            </w:r>
          </w:p>
          <w:p w:rsidR="004E5B45" w:rsidRPr="004E5B45" w:rsidRDefault="004E5B45" w:rsidP="004E5B45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 w:rsidRPr="004E5B45">
              <w:t>Risk for falls</w:t>
            </w:r>
          </w:p>
          <w:p w:rsidR="004E5B45" w:rsidRPr="004E5B45" w:rsidRDefault="004E5B45" w:rsidP="004E5B45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 w:rsidRPr="004E5B45">
              <w:t>Hydration/Nutrition</w:t>
            </w:r>
          </w:p>
          <w:p w:rsidR="004E5B45" w:rsidRPr="004E5B45" w:rsidRDefault="004E5B45" w:rsidP="004E5B45">
            <w:pPr>
              <w:rPr>
                <w:b/>
              </w:rPr>
            </w:pPr>
            <w:r w:rsidRPr="004E5B45">
              <w:rPr>
                <w:b/>
              </w:rPr>
              <w:t>Supportive Interventions</w:t>
            </w:r>
            <w:r w:rsidRPr="004E5B45">
              <w:rPr>
                <w:b/>
                <w:vertAlign w:val="superscript"/>
              </w:rPr>
              <w:t>1,11</w:t>
            </w:r>
          </w:p>
          <w:p w:rsidR="004E5B45" w:rsidRPr="004E5B45" w:rsidRDefault="004E5B45" w:rsidP="004E5B45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 w:rsidRPr="004E5B45">
              <w:t>Provide reassurance and calming techniques.</w:t>
            </w:r>
          </w:p>
          <w:p w:rsidR="004E5B45" w:rsidRPr="004E5B45" w:rsidRDefault="004E5B45" w:rsidP="004E5B45">
            <w:pPr>
              <w:pStyle w:val="ListParagraph"/>
              <w:numPr>
                <w:ilvl w:val="0"/>
                <w:numId w:val="22"/>
              </w:numPr>
            </w:pPr>
            <w:r w:rsidRPr="004E5B45">
              <w:t>Encourage fluids and nutrition as tolerated</w:t>
            </w:r>
          </w:p>
          <w:p w:rsidR="009A609D" w:rsidRPr="004E5B45" w:rsidRDefault="00D13EFB" w:rsidP="004E5B45">
            <w:pPr>
              <w:pStyle w:val="ListParagraph"/>
              <w:numPr>
                <w:ilvl w:val="0"/>
                <w:numId w:val="22"/>
              </w:numPr>
            </w:pPr>
            <w:r w:rsidRPr="004E5B45">
              <w:t>Diazepam has been used to treat GHB withdrawal</w:t>
            </w:r>
            <w:r w:rsidR="00F43551" w:rsidRPr="004E5B45">
              <w:t xml:space="preserve"> </w:t>
            </w:r>
          </w:p>
          <w:p w:rsidR="009A609D" w:rsidRPr="009278B0" w:rsidRDefault="009A609D" w:rsidP="004E5B45">
            <w:pPr>
              <w:pStyle w:val="ListParagraph"/>
              <w:ind w:left="360"/>
            </w:pPr>
          </w:p>
        </w:tc>
      </w:tr>
      <w:tr w:rsidR="009A609D" w:rsidRPr="00AF3500" w:rsidTr="00B4706D">
        <w:tc>
          <w:tcPr>
            <w:tcW w:w="1951" w:type="dxa"/>
            <w:shd w:val="clear" w:color="auto" w:fill="244061" w:themeFill="accent1" w:themeFillShade="80"/>
          </w:tcPr>
          <w:p w:rsidR="00560831" w:rsidRDefault="00560831" w:rsidP="00CE6F24">
            <w:pPr>
              <w:jc w:val="center"/>
              <w:rPr>
                <w:rFonts w:ascii="Trebuchet MS" w:hAnsi="Trebuchet MS"/>
                <w:b/>
              </w:rPr>
            </w:pPr>
          </w:p>
          <w:p w:rsidR="00560831" w:rsidRDefault="00560831" w:rsidP="00CE6F24">
            <w:pPr>
              <w:jc w:val="center"/>
              <w:rPr>
                <w:rFonts w:ascii="Trebuchet MS" w:hAnsi="Trebuchet MS"/>
                <w:b/>
              </w:rPr>
            </w:pPr>
          </w:p>
          <w:p w:rsidR="00066532" w:rsidRDefault="00066532" w:rsidP="00CE6F24">
            <w:pPr>
              <w:jc w:val="center"/>
              <w:rPr>
                <w:rFonts w:ascii="Trebuchet MS" w:hAnsi="Trebuchet MS"/>
                <w:b/>
              </w:rPr>
            </w:pPr>
          </w:p>
          <w:p w:rsidR="009A609D" w:rsidRPr="002550B9" w:rsidRDefault="009A609D" w:rsidP="00CE6F24">
            <w:pPr>
              <w:jc w:val="center"/>
              <w:rPr>
                <w:rFonts w:ascii="Trebuchet MS" w:hAnsi="Trebuchet MS"/>
                <w:b/>
              </w:rPr>
            </w:pPr>
            <w:r w:rsidRPr="002550B9">
              <w:rPr>
                <w:rFonts w:ascii="Trebuchet MS" w:hAnsi="Trebuchet MS"/>
                <w:b/>
              </w:rPr>
              <w:t>Potential Complications</w:t>
            </w:r>
          </w:p>
        </w:tc>
        <w:tc>
          <w:tcPr>
            <w:tcW w:w="8930" w:type="dxa"/>
          </w:tcPr>
          <w:p w:rsidR="00D13EFB" w:rsidRDefault="00D13EFB" w:rsidP="00B426BC">
            <w:pPr>
              <w:pStyle w:val="ListParagraph"/>
              <w:numPr>
                <w:ilvl w:val="0"/>
                <w:numId w:val="18"/>
              </w:numPr>
            </w:pPr>
            <w:r>
              <w:t>Coma reported in doses &gt; 60mg/kg</w:t>
            </w:r>
            <w:r w:rsidR="00F43551">
              <w:t xml:space="preserve"> </w:t>
            </w:r>
            <w:r w:rsidR="00305023" w:rsidRPr="00B426BC">
              <w:rPr>
                <w:vertAlign w:val="superscript"/>
              </w:rPr>
              <w:t>1</w:t>
            </w:r>
          </w:p>
          <w:p w:rsidR="00F43551" w:rsidRPr="008A2760" w:rsidRDefault="00F43551" w:rsidP="00B426BC">
            <w:pPr>
              <w:pStyle w:val="ListParagraph"/>
              <w:numPr>
                <w:ilvl w:val="0"/>
                <w:numId w:val="18"/>
              </w:numPr>
            </w:pPr>
            <w:r w:rsidRPr="00B426BC">
              <w:rPr>
                <w:b/>
              </w:rPr>
              <w:t>GHB</w:t>
            </w:r>
            <w:r>
              <w:t xml:space="preserve"> </w:t>
            </w:r>
            <w:r w:rsidRPr="002D5E43">
              <w:rPr>
                <w:b/>
              </w:rPr>
              <w:t xml:space="preserve">overdose </w:t>
            </w:r>
            <w:r>
              <w:t>is a real danger, usually occurring within 15–20 minutes of ingestion. Most fatalities associated with GHB occur when it is taken with other su</w:t>
            </w:r>
            <w:r w:rsidR="008A2760">
              <w:t>bstances, most notably alcohol.</w:t>
            </w:r>
            <w:r w:rsidRPr="00B426BC">
              <w:rPr>
                <w:vertAlign w:val="superscript"/>
              </w:rPr>
              <w:t>3</w:t>
            </w:r>
            <w:r w:rsidR="00D53EBA" w:rsidRPr="00B426BC">
              <w:rPr>
                <w:vertAlign w:val="superscript"/>
              </w:rPr>
              <w:t>, 4</w:t>
            </w:r>
          </w:p>
          <w:p w:rsidR="008A2760" w:rsidRDefault="008A2760" w:rsidP="00B426BC">
            <w:pPr>
              <w:pStyle w:val="ListParagraph"/>
              <w:numPr>
                <w:ilvl w:val="0"/>
                <w:numId w:val="18"/>
              </w:numPr>
            </w:pPr>
            <w:r>
              <w:t>Overdose may present as</w:t>
            </w:r>
            <w:r w:rsidRPr="00B426BC">
              <w:rPr>
                <w:vertAlign w:val="superscript"/>
              </w:rPr>
              <w:t>3, 4</w:t>
            </w:r>
            <w: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40"/>
              <w:gridCol w:w="2934"/>
              <w:gridCol w:w="2856"/>
            </w:tblGrid>
            <w:tr w:rsidR="00B426BC" w:rsidTr="00B426BC">
              <w:tc>
                <w:tcPr>
                  <w:tcW w:w="2640" w:type="dxa"/>
                </w:tcPr>
                <w:p w:rsidR="00B426BC" w:rsidRDefault="00B426BC" w:rsidP="00066532">
                  <w:r>
                    <w:t>Nausea and vomiting</w:t>
                  </w:r>
                </w:p>
              </w:tc>
              <w:tc>
                <w:tcPr>
                  <w:tcW w:w="2934" w:type="dxa"/>
                </w:tcPr>
                <w:p w:rsidR="00B426BC" w:rsidRDefault="00B426BC" w:rsidP="00066532">
                  <w:r>
                    <w:t>Respiratory depression</w:t>
                  </w:r>
                </w:p>
              </w:tc>
              <w:tc>
                <w:tcPr>
                  <w:tcW w:w="2856" w:type="dxa"/>
                </w:tcPr>
                <w:p w:rsidR="00B426BC" w:rsidRDefault="00B426BC" w:rsidP="00066532">
                  <w:r>
                    <w:t>Aggressive outbursts</w:t>
                  </w:r>
                </w:p>
              </w:tc>
            </w:tr>
            <w:tr w:rsidR="00B426BC" w:rsidTr="00B426BC">
              <w:tc>
                <w:tcPr>
                  <w:tcW w:w="2640" w:type="dxa"/>
                </w:tcPr>
                <w:p w:rsidR="00B426BC" w:rsidRDefault="00B426BC" w:rsidP="00066532">
                  <w:r>
                    <w:t>Seizures</w:t>
                  </w:r>
                </w:p>
              </w:tc>
              <w:tc>
                <w:tcPr>
                  <w:tcW w:w="2934" w:type="dxa"/>
                </w:tcPr>
                <w:p w:rsidR="00B426BC" w:rsidRDefault="00B426BC" w:rsidP="00066532">
                  <w:r>
                    <w:t>Coma</w:t>
                  </w:r>
                </w:p>
              </w:tc>
              <w:tc>
                <w:tcPr>
                  <w:tcW w:w="2856" w:type="dxa"/>
                </w:tcPr>
                <w:p w:rsidR="00B426BC" w:rsidRDefault="00B426BC" w:rsidP="00066532">
                  <w:r>
                    <w:t xml:space="preserve">Slowed heart rate </w:t>
                  </w:r>
                </w:p>
                <w:p w:rsidR="00066532" w:rsidRDefault="00066532" w:rsidP="00066532"/>
              </w:tc>
            </w:tr>
          </w:tbl>
          <w:p w:rsidR="009278B0" w:rsidRPr="00F43551" w:rsidRDefault="009278B0" w:rsidP="00B426BC">
            <w:pPr>
              <w:pStyle w:val="ListParagraph"/>
              <w:ind w:left="1080"/>
            </w:pPr>
          </w:p>
        </w:tc>
      </w:tr>
      <w:tr w:rsidR="009A609D" w:rsidTr="00B4706D">
        <w:tc>
          <w:tcPr>
            <w:tcW w:w="1951" w:type="dxa"/>
            <w:shd w:val="clear" w:color="auto" w:fill="244061" w:themeFill="accent1" w:themeFillShade="80"/>
          </w:tcPr>
          <w:p w:rsidR="00EC0E67" w:rsidRDefault="00EC0E67" w:rsidP="00CE6F24">
            <w:pPr>
              <w:jc w:val="center"/>
              <w:rPr>
                <w:rFonts w:ascii="Trebuchet MS" w:hAnsi="Trebuchet MS"/>
                <w:b/>
              </w:rPr>
            </w:pPr>
          </w:p>
          <w:p w:rsidR="00EC0E67" w:rsidRDefault="00EC0E67" w:rsidP="00CE6F24">
            <w:pPr>
              <w:jc w:val="center"/>
              <w:rPr>
                <w:rFonts w:ascii="Trebuchet MS" w:hAnsi="Trebuchet MS"/>
                <w:b/>
              </w:rPr>
            </w:pPr>
          </w:p>
          <w:p w:rsidR="00560831" w:rsidRDefault="00560831" w:rsidP="00CE6F24">
            <w:pPr>
              <w:jc w:val="center"/>
              <w:rPr>
                <w:rFonts w:ascii="Trebuchet MS" w:hAnsi="Trebuchet MS"/>
                <w:b/>
              </w:rPr>
            </w:pPr>
          </w:p>
          <w:p w:rsidR="00560831" w:rsidRDefault="00560831" w:rsidP="00CE6F24">
            <w:pPr>
              <w:jc w:val="center"/>
              <w:rPr>
                <w:rFonts w:ascii="Trebuchet MS" w:hAnsi="Trebuchet MS"/>
                <w:b/>
              </w:rPr>
            </w:pPr>
          </w:p>
          <w:p w:rsidR="00560831" w:rsidRDefault="00560831" w:rsidP="00CE6F24">
            <w:pPr>
              <w:jc w:val="center"/>
              <w:rPr>
                <w:rFonts w:ascii="Trebuchet MS" w:hAnsi="Trebuchet MS"/>
                <w:b/>
              </w:rPr>
            </w:pPr>
          </w:p>
          <w:p w:rsidR="00560831" w:rsidRDefault="00560831" w:rsidP="00CE6F24">
            <w:pPr>
              <w:jc w:val="center"/>
              <w:rPr>
                <w:rFonts w:ascii="Trebuchet MS" w:hAnsi="Trebuchet MS"/>
                <w:b/>
              </w:rPr>
            </w:pPr>
          </w:p>
          <w:p w:rsidR="00560831" w:rsidRDefault="00560831" w:rsidP="00CE6F24">
            <w:pPr>
              <w:jc w:val="center"/>
              <w:rPr>
                <w:rFonts w:ascii="Trebuchet MS" w:hAnsi="Trebuchet MS"/>
                <w:b/>
              </w:rPr>
            </w:pPr>
          </w:p>
          <w:p w:rsidR="00560831" w:rsidRDefault="00560831" w:rsidP="00CE6F24">
            <w:pPr>
              <w:jc w:val="center"/>
              <w:rPr>
                <w:rFonts w:ascii="Trebuchet MS" w:hAnsi="Trebuchet MS"/>
                <w:b/>
              </w:rPr>
            </w:pPr>
          </w:p>
          <w:p w:rsidR="00EC0E67" w:rsidRDefault="00EC0E67" w:rsidP="00CE6F24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Notable </w:t>
            </w:r>
          </w:p>
          <w:p w:rsidR="009A609D" w:rsidRDefault="009A609D" w:rsidP="00CE6F24">
            <w:pPr>
              <w:jc w:val="center"/>
              <w:rPr>
                <w:rFonts w:ascii="Trebuchet MS" w:hAnsi="Trebuchet MS"/>
                <w:b/>
              </w:rPr>
            </w:pPr>
            <w:r w:rsidRPr="002550B9">
              <w:rPr>
                <w:rFonts w:ascii="Trebuchet MS" w:hAnsi="Trebuchet MS"/>
                <w:b/>
              </w:rPr>
              <w:t>Drug interactions</w:t>
            </w:r>
          </w:p>
          <w:p w:rsidR="00560831" w:rsidRDefault="00560831" w:rsidP="00CE6F24">
            <w:pPr>
              <w:jc w:val="center"/>
              <w:rPr>
                <w:rFonts w:ascii="Trebuchet MS" w:hAnsi="Trebuchet MS"/>
                <w:b/>
              </w:rPr>
            </w:pPr>
          </w:p>
          <w:p w:rsidR="00560831" w:rsidRDefault="00560831" w:rsidP="00CE6F24">
            <w:pPr>
              <w:jc w:val="center"/>
              <w:rPr>
                <w:rFonts w:ascii="Trebuchet MS" w:hAnsi="Trebuchet MS"/>
                <w:b/>
              </w:rPr>
            </w:pPr>
          </w:p>
          <w:p w:rsidR="00560831" w:rsidRDefault="00560831" w:rsidP="00CE6F24">
            <w:pPr>
              <w:jc w:val="center"/>
              <w:rPr>
                <w:rFonts w:ascii="Trebuchet MS" w:hAnsi="Trebuchet MS"/>
                <w:b/>
              </w:rPr>
            </w:pPr>
          </w:p>
          <w:p w:rsidR="00560831" w:rsidRDefault="00560831" w:rsidP="00CE6F24">
            <w:pPr>
              <w:jc w:val="center"/>
              <w:rPr>
                <w:rFonts w:ascii="Trebuchet MS" w:hAnsi="Trebuchet MS"/>
                <w:b/>
              </w:rPr>
            </w:pPr>
          </w:p>
          <w:p w:rsidR="00560831" w:rsidRDefault="00560831" w:rsidP="00CE6F24">
            <w:pPr>
              <w:jc w:val="center"/>
              <w:rPr>
                <w:rFonts w:ascii="Trebuchet MS" w:hAnsi="Trebuchet MS"/>
                <w:b/>
              </w:rPr>
            </w:pPr>
          </w:p>
          <w:p w:rsidR="00560831" w:rsidRDefault="00560831" w:rsidP="00CE6F24">
            <w:pPr>
              <w:jc w:val="center"/>
              <w:rPr>
                <w:rFonts w:ascii="Trebuchet MS" w:hAnsi="Trebuchet MS"/>
                <w:b/>
              </w:rPr>
            </w:pPr>
          </w:p>
          <w:p w:rsidR="00560831" w:rsidRDefault="00560831" w:rsidP="00CE6F24">
            <w:pPr>
              <w:jc w:val="center"/>
              <w:rPr>
                <w:rFonts w:ascii="Trebuchet MS" w:hAnsi="Trebuchet MS"/>
                <w:b/>
              </w:rPr>
            </w:pPr>
          </w:p>
          <w:p w:rsidR="00560831" w:rsidRDefault="00560831" w:rsidP="00CE6F24">
            <w:pPr>
              <w:jc w:val="center"/>
              <w:rPr>
                <w:rFonts w:ascii="Trebuchet MS" w:hAnsi="Trebuchet MS"/>
                <w:b/>
              </w:rPr>
            </w:pPr>
          </w:p>
          <w:p w:rsidR="00560831" w:rsidRDefault="00560831" w:rsidP="00CE6F24">
            <w:pPr>
              <w:jc w:val="center"/>
              <w:rPr>
                <w:rFonts w:ascii="Trebuchet MS" w:hAnsi="Trebuchet MS"/>
                <w:b/>
              </w:rPr>
            </w:pPr>
          </w:p>
          <w:p w:rsidR="005B62C7" w:rsidRDefault="005B62C7" w:rsidP="00560831">
            <w:pPr>
              <w:jc w:val="center"/>
              <w:rPr>
                <w:rFonts w:ascii="Trebuchet MS" w:hAnsi="Trebuchet MS"/>
                <w:b/>
              </w:rPr>
            </w:pPr>
          </w:p>
          <w:p w:rsidR="00941AE6" w:rsidRDefault="00941AE6" w:rsidP="00560831">
            <w:pPr>
              <w:jc w:val="center"/>
              <w:rPr>
                <w:rFonts w:ascii="Trebuchet MS" w:hAnsi="Trebuchet MS"/>
                <w:b/>
              </w:rPr>
            </w:pPr>
          </w:p>
          <w:p w:rsidR="00560831" w:rsidRDefault="00560831" w:rsidP="00941AE6">
            <w:pPr>
              <w:jc w:val="center"/>
              <w:rPr>
                <w:rFonts w:ascii="Trebuchet MS" w:hAnsi="Trebuchet MS"/>
                <w:b/>
              </w:rPr>
            </w:pPr>
            <w:bookmarkStart w:id="0" w:name="_GoBack"/>
            <w:bookmarkEnd w:id="0"/>
            <w:r>
              <w:rPr>
                <w:rFonts w:ascii="Trebuchet MS" w:hAnsi="Trebuchet MS"/>
                <w:b/>
              </w:rPr>
              <w:t>Notable</w:t>
            </w:r>
          </w:p>
          <w:p w:rsidR="00560831" w:rsidRDefault="00560831" w:rsidP="00560831">
            <w:pPr>
              <w:jc w:val="center"/>
              <w:rPr>
                <w:rFonts w:ascii="Trebuchet MS" w:hAnsi="Trebuchet MS"/>
                <w:b/>
              </w:rPr>
            </w:pPr>
            <w:r w:rsidRPr="002550B9">
              <w:rPr>
                <w:rFonts w:ascii="Trebuchet MS" w:hAnsi="Trebuchet MS"/>
                <w:b/>
              </w:rPr>
              <w:t>Drug interactions</w:t>
            </w:r>
          </w:p>
          <w:p w:rsidR="00560831" w:rsidRPr="00560831" w:rsidRDefault="00560831" w:rsidP="00560831">
            <w:pPr>
              <w:jc w:val="center"/>
              <w:rPr>
                <w:rFonts w:ascii="Trebuchet MS" w:hAnsi="Trebuchet MS"/>
                <w:i/>
              </w:rPr>
            </w:pPr>
            <w:r w:rsidRPr="00560831">
              <w:rPr>
                <w:rFonts w:ascii="Trebuchet MS" w:hAnsi="Trebuchet MS"/>
                <w:i/>
              </w:rPr>
              <w:t>(Continued)</w:t>
            </w:r>
          </w:p>
        </w:tc>
        <w:tc>
          <w:tcPr>
            <w:tcW w:w="8930" w:type="dxa"/>
          </w:tcPr>
          <w:p w:rsidR="0025652F" w:rsidRPr="00AA46F9" w:rsidRDefault="0025652F" w:rsidP="0025652F">
            <w:pPr>
              <w:rPr>
                <w:b/>
              </w:rPr>
            </w:pPr>
            <w:r w:rsidRPr="00AA46F9">
              <w:rPr>
                <w:b/>
              </w:rPr>
              <w:lastRenderedPageBreak/>
              <w:t xml:space="preserve">HIV medications (Ritonavir and </w:t>
            </w:r>
            <w:proofErr w:type="spellStart"/>
            <w:r w:rsidRPr="00AA46F9">
              <w:rPr>
                <w:b/>
              </w:rPr>
              <w:t>Saquinavir</w:t>
            </w:r>
            <w:proofErr w:type="spellEnd"/>
            <w:r w:rsidRPr="00AA46F9">
              <w:rPr>
                <w:b/>
              </w:rPr>
              <w:t>)</w:t>
            </w:r>
            <w:r w:rsidR="00E67B6C" w:rsidRPr="00AA46F9">
              <w:rPr>
                <w:b/>
                <w:vertAlign w:val="superscript"/>
              </w:rPr>
              <w:t>5</w:t>
            </w:r>
          </w:p>
          <w:p w:rsidR="0025652F" w:rsidRPr="009D574D" w:rsidRDefault="0025652F" w:rsidP="0025652F">
            <w:pPr>
              <w:pStyle w:val="ListParagraph"/>
              <w:numPr>
                <w:ilvl w:val="0"/>
                <w:numId w:val="12"/>
              </w:numPr>
            </w:pPr>
            <w:r w:rsidRPr="009D574D">
              <w:t>Interferes with the metabolism of GHB via CYP3A4 enzymes, amplifying GHB-depressant effects which may lead to loss of consciousness</w:t>
            </w:r>
          </w:p>
          <w:p w:rsidR="0025652F" w:rsidRPr="00EC0E67" w:rsidRDefault="00AA46F9" w:rsidP="0025652F">
            <w:pPr>
              <w:rPr>
                <w:b/>
              </w:rPr>
            </w:pPr>
            <w:r w:rsidRPr="00EC0E67">
              <w:rPr>
                <w:b/>
              </w:rPr>
              <w:t xml:space="preserve">With </w:t>
            </w:r>
            <w:r w:rsidR="0025652F" w:rsidRPr="00EC0E67">
              <w:rPr>
                <w:b/>
              </w:rPr>
              <w:t>Benzodiazepines</w:t>
            </w:r>
            <w:r w:rsidR="00E67B6C" w:rsidRPr="00EC0E67">
              <w:rPr>
                <w:b/>
                <w:vertAlign w:val="superscript"/>
              </w:rPr>
              <w:t>5</w:t>
            </w:r>
          </w:p>
          <w:p w:rsidR="0025652F" w:rsidRPr="009D574D" w:rsidRDefault="0025652F" w:rsidP="0025652F">
            <w:pPr>
              <w:pStyle w:val="ListParagraph"/>
              <w:numPr>
                <w:ilvl w:val="0"/>
                <w:numId w:val="12"/>
              </w:numPr>
            </w:pPr>
            <w:r w:rsidRPr="009D574D">
              <w:t>GHB may alter the response of midazolam at the GABA receptors, leading to agitation and confusion</w:t>
            </w:r>
          </w:p>
          <w:p w:rsidR="0025652F" w:rsidRPr="009D574D" w:rsidRDefault="0025652F" w:rsidP="0025652F">
            <w:pPr>
              <w:pStyle w:val="ListParagraph"/>
              <w:numPr>
                <w:ilvl w:val="0"/>
                <w:numId w:val="12"/>
              </w:numPr>
            </w:pPr>
            <w:r>
              <w:t>E</w:t>
            </w:r>
            <w:r w:rsidRPr="009D574D">
              <w:t>nhance CNS depressant effects of GHB</w:t>
            </w:r>
          </w:p>
          <w:p w:rsidR="0025652F" w:rsidRPr="00EC0E67" w:rsidRDefault="00EC0E67" w:rsidP="0025652F">
            <w:pPr>
              <w:rPr>
                <w:b/>
              </w:rPr>
            </w:pPr>
            <w:r w:rsidRPr="00EC0E67">
              <w:rPr>
                <w:b/>
              </w:rPr>
              <w:t xml:space="preserve">With </w:t>
            </w:r>
            <w:r w:rsidR="0025652F" w:rsidRPr="00EC0E67">
              <w:rPr>
                <w:b/>
              </w:rPr>
              <w:t>Sedating antidepressants, Antipsychotics, General anesthetics, Hypnotics, Opioids, Muscle Relaxants</w:t>
            </w:r>
            <w:r w:rsidR="00E67B6C" w:rsidRPr="00EC0E67">
              <w:rPr>
                <w:b/>
                <w:vertAlign w:val="superscript"/>
              </w:rPr>
              <w:t>6</w:t>
            </w:r>
          </w:p>
          <w:p w:rsidR="0025652F" w:rsidRDefault="0025652F" w:rsidP="0025652F">
            <w:pPr>
              <w:pStyle w:val="ListParagraph"/>
              <w:numPr>
                <w:ilvl w:val="0"/>
                <w:numId w:val="14"/>
              </w:numPr>
            </w:pPr>
            <w:r w:rsidRPr="009D574D">
              <w:t>May enhance the CNS depressant effect of GHB leading to impaired consciousness and respiratory depression</w:t>
            </w:r>
          </w:p>
          <w:p w:rsidR="0025652F" w:rsidRPr="00EC0E67" w:rsidRDefault="00EC0E67" w:rsidP="0025652F">
            <w:pPr>
              <w:rPr>
                <w:b/>
              </w:rPr>
            </w:pPr>
            <w:r w:rsidRPr="00EC0E67">
              <w:rPr>
                <w:b/>
              </w:rPr>
              <w:t xml:space="preserve">With </w:t>
            </w:r>
            <w:r w:rsidR="0025652F" w:rsidRPr="00EC0E67">
              <w:rPr>
                <w:b/>
              </w:rPr>
              <w:t>Valproate and Ethosuximide</w:t>
            </w:r>
            <w:r w:rsidR="00E67B6C" w:rsidRPr="00EC0E67">
              <w:rPr>
                <w:b/>
                <w:vertAlign w:val="superscript"/>
              </w:rPr>
              <w:t>7,8</w:t>
            </w:r>
          </w:p>
          <w:p w:rsidR="0025652F" w:rsidRPr="009D574D" w:rsidRDefault="0025652F" w:rsidP="0025652F">
            <w:pPr>
              <w:pStyle w:val="ListParagraph"/>
              <w:numPr>
                <w:ilvl w:val="0"/>
                <w:numId w:val="12"/>
              </w:numPr>
            </w:pPr>
            <w:r w:rsidRPr="009D574D">
              <w:t>Inhibition of GHB-dehydrogenase</w:t>
            </w:r>
          </w:p>
          <w:p w:rsidR="0025652F" w:rsidRPr="009D574D" w:rsidRDefault="0025652F" w:rsidP="0025652F">
            <w:pPr>
              <w:pStyle w:val="ListParagraph"/>
              <w:numPr>
                <w:ilvl w:val="0"/>
                <w:numId w:val="12"/>
              </w:numPr>
            </w:pPr>
            <w:r w:rsidRPr="009D574D">
              <w:t>Increased serum concentration of GHB --&gt; Increased sleepiness, dizziness, nausea and cognitive impairment</w:t>
            </w:r>
          </w:p>
          <w:p w:rsidR="0025652F" w:rsidRPr="00EC0E67" w:rsidRDefault="00EC0E67" w:rsidP="0025652F">
            <w:pPr>
              <w:rPr>
                <w:b/>
              </w:rPr>
            </w:pPr>
            <w:r w:rsidRPr="00EC0E67">
              <w:rPr>
                <w:b/>
              </w:rPr>
              <w:t xml:space="preserve">With </w:t>
            </w:r>
            <w:r w:rsidR="0025652F" w:rsidRPr="00EC0E67">
              <w:rPr>
                <w:b/>
              </w:rPr>
              <w:t>Alcohol</w:t>
            </w:r>
            <w:r w:rsidR="00E67B6C" w:rsidRPr="00EC0E67">
              <w:rPr>
                <w:b/>
                <w:vertAlign w:val="superscript"/>
              </w:rPr>
              <w:t>9</w:t>
            </w:r>
          </w:p>
          <w:p w:rsidR="0025652F" w:rsidRPr="009D574D" w:rsidRDefault="0025652F" w:rsidP="0025652F">
            <w:pPr>
              <w:pStyle w:val="ListParagraph"/>
              <w:numPr>
                <w:ilvl w:val="0"/>
                <w:numId w:val="12"/>
              </w:numPr>
            </w:pPr>
            <w:r w:rsidRPr="009D574D">
              <w:t>Enhanced respiratory depression, greater decreases in O</w:t>
            </w:r>
            <w:r w:rsidRPr="00EF25E6">
              <w:rPr>
                <w:vertAlign w:val="subscript"/>
              </w:rPr>
              <w:t>2</w:t>
            </w:r>
            <w:r w:rsidR="00EF25E6">
              <w:t xml:space="preserve"> </w:t>
            </w:r>
            <w:r w:rsidRPr="009D574D">
              <w:t>sat, and hypotension</w:t>
            </w:r>
          </w:p>
          <w:p w:rsidR="0025652F" w:rsidRPr="009D574D" w:rsidRDefault="0025652F" w:rsidP="0025652F">
            <w:pPr>
              <w:pStyle w:val="ListParagraph"/>
              <w:numPr>
                <w:ilvl w:val="0"/>
                <w:numId w:val="12"/>
              </w:numPr>
            </w:pPr>
            <w:r w:rsidRPr="009D574D">
              <w:t>Adverse effects are more pronounced at higher GHB doses</w:t>
            </w:r>
          </w:p>
          <w:p w:rsidR="0025652F" w:rsidRPr="00EC0E67" w:rsidRDefault="00EC0E67" w:rsidP="0025652F">
            <w:pPr>
              <w:rPr>
                <w:b/>
              </w:rPr>
            </w:pPr>
            <w:r w:rsidRPr="00EC0E67">
              <w:rPr>
                <w:b/>
              </w:rPr>
              <w:t xml:space="preserve">With </w:t>
            </w:r>
            <w:r w:rsidR="0025652F" w:rsidRPr="00EC0E67">
              <w:rPr>
                <w:b/>
              </w:rPr>
              <w:t>Topiramate</w:t>
            </w:r>
            <w:r w:rsidR="00E67B6C" w:rsidRPr="00EC0E67">
              <w:rPr>
                <w:b/>
                <w:vertAlign w:val="superscript"/>
              </w:rPr>
              <w:t>10</w:t>
            </w:r>
          </w:p>
          <w:p w:rsidR="0025652F" w:rsidRPr="009D574D" w:rsidRDefault="0025652F" w:rsidP="0025652F">
            <w:pPr>
              <w:pStyle w:val="ListParagraph"/>
              <w:numPr>
                <w:ilvl w:val="0"/>
                <w:numId w:val="13"/>
              </w:numPr>
            </w:pPr>
            <w:proofErr w:type="spellStart"/>
            <w:r w:rsidRPr="009D574D">
              <w:t>Topiramate</w:t>
            </w:r>
            <w:proofErr w:type="spellEnd"/>
            <w:r w:rsidRPr="009D574D">
              <w:t xml:space="preserve"> increases GABA activity at its </w:t>
            </w:r>
            <w:proofErr w:type="spellStart"/>
            <w:r w:rsidRPr="009D574D">
              <w:t>neuroceptors</w:t>
            </w:r>
            <w:proofErr w:type="spellEnd"/>
          </w:p>
          <w:p w:rsidR="0025652F" w:rsidRDefault="0025652F" w:rsidP="00E67B6C">
            <w:pPr>
              <w:pStyle w:val="ListParagraph"/>
              <w:numPr>
                <w:ilvl w:val="0"/>
                <w:numId w:val="13"/>
              </w:numPr>
            </w:pPr>
            <w:r w:rsidRPr="009D574D">
              <w:lastRenderedPageBreak/>
              <w:t xml:space="preserve">May increase serum concentration of GHB --&gt; Myoclonic jerks, </w:t>
            </w:r>
            <w:proofErr w:type="spellStart"/>
            <w:r w:rsidRPr="009D574D">
              <w:t>miosis</w:t>
            </w:r>
            <w:proofErr w:type="spellEnd"/>
            <w:r w:rsidRPr="009D574D">
              <w:t>, rapid onset of coma</w:t>
            </w:r>
          </w:p>
          <w:p w:rsidR="00D13EFB" w:rsidRPr="00EC0E67" w:rsidRDefault="00D13EFB" w:rsidP="00D13EFB">
            <w:pPr>
              <w:rPr>
                <w:b/>
              </w:rPr>
            </w:pPr>
            <w:r w:rsidRPr="00EC0E67">
              <w:rPr>
                <w:b/>
              </w:rPr>
              <w:t>With Cannabis</w:t>
            </w:r>
          </w:p>
          <w:p w:rsidR="00D13EFB" w:rsidRPr="00EC0E67" w:rsidRDefault="00D13EFB" w:rsidP="00D13EFB">
            <w:pPr>
              <w:pStyle w:val="ListParagraph"/>
              <w:numPr>
                <w:ilvl w:val="0"/>
                <w:numId w:val="5"/>
              </w:numPr>
            </w:pPr>
            <w:r w:rsidRPr="00EC0E67">
              <w:t>Increased pharmacological effects</w:t>
            </w:r>
            <w:r w:rsidR="00EC0E67" w:rsidRPr="00EC0E67">
              <w:rPr>
                <w:vertAlign w:val="superscript"/>
              </w:rPr>
              <w:t>1</w:t>
            </w:r>
          </w:p>
          <w:p w:rsidR="00D13EFB" w:rsidRPr="00EC0E67" w:rsidRDefault="00D13EFB" w:rsidP="00D13EFB">
            <w:pPr>
              <w:rPr>
                <w:b/>
              </w:rPr>
            </w:pPr>
            <w:r w:rsidRPr="00EC0E67">
              <w:rPr>
                <w:b/>
              </w:rPr>
              <w:t>With Stimulants</w:t>
            </w:r>
          </w:p>
          <w:p w:rsidR="00D13EFB" w:rsidRDefault="00D13EFB" w:rsidP="00D13EFB">
            <w:pPr>
              <w:pStyle w:val="ListParagraph"/>
              <w:numPr>
                <w:ilvl w:val="0"/>
                <w:numId w:val="5"/>
              </w:numPr>
            </w:pPr>
            <w:r>
              <w:t xml:space="preserve">Increased pharmacological effects </w:t>
            </w:r>
            <w:r w:rsidR="00305023" w:rsidRPr="00F43551">
              <w:rPr>
                <w:vertAlign w:val="superscript"/>
              </w:rPr>
              <w:t>1</w:t>
            </w:r>
          </w:p>
        </w:tc>
      </w:tr>
      <w:tr w:rsidR="009A609D" w:rsidTr="00B4706D">
        <w:trPr>
          <w:trHeight w:val="375"/>
        </w:trPr>
        <w:tc>
          <w:tcPr>
            <w:tcW w:w="1951" w:type="dxa"/>
            <w:shd w:val="clear" w:color="auto" w:fill="244061" w:themeFill="accent1" w:themeFillShade="80"/>
          </w:tcPr>
          <w:p w:rsidR="009A609D" w:rsidRPr="007B6967" w:rsidRDefault="009A609D" w:rsidP="00CE6F24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B426BC">
              <w:rPr>
                <w:rFonts w:ascii="Trebuchet MS" w:hAnsi="Trebuchet MS"/>
                <w:b/>
              </w:rPr>
              <w:lastRenderedPageBreak/>
              <w:t>Psychiatric effects</w:t>
            </w:r>
          </w:p>
        </w:tc>
        <w:tc>
          <w:tcPr>
            <w:tcW w:w="8930" w:type="dxa"/>
          </w:tcPr>
          <w:p w:rsidR="009A609D" w:rsidRDefault="00423BDA" w:rsidP="00423BDA">
            <w:pPr>
              <w:pStyle w:val="ListParagraph"/>
              <w:numPr>
                <w:ilvl w:val="0"/>
                <w:numId w:val="11"/>
              </w:numPr>
            </w:pPr>
            <w:r>
              <w:t>In small doses, it leads to feelings of well-being, lowered inhibitions, sedation, poor concentration, confusion, amnesia, euphoria and hallucinations. It may lead to agitation and aggression</w:t>
            </w:r>
            <w:r w:rsidRPr="00423BDA">
              <w:rPr>
                <w:vertAlign w:val="superscript"/>
              </w:rPr>
              <w:t>1</w:t>
            </w:r>
          </w:p>
        </w:tc>
      </w:tr>
    </w:tbl>
    <w:p w:rsidR="00FA6466" w:rsidRDefault="00FA6466"/>
    <w:p w:rsidR="00B426BC" w:rsidRDefault="00B426BC"/>
    <w:p w:rsidR="00B426BC" w:rsidRDefault="00B426BC"/>
    <w:p w:rsidR="00B426BC" w:rsidRDefault="00B426BC"/>
    <w:p w:rsidR="00EC0E67" w:rsidRDefault="00EC0E67" w:rsidP="00B426BC">
      <w:pPr>
        <w:jc w:val="center"/>
        <w:rPr>
          <w:b/>
          <w:sz w:val="36"/>
          <w:szCs w:val="36"/>
        </w:rPr>
      </w:pPr>
    </w:p>
    <w:p w:rsidR="00EC0E67" w:rsidRDefault="00EC0E67" w:rsidP="00B426BC">
      <w:pPr>
        <w:jc w:val="center"/>
        <w:rPr>
          <w:b/>
          <w:sz w:val="36"/>
          <w:szCs w:val="36"/>
        </w:rPr>
      </w:pPr>
    </w:p>
    <w:p w:rsidR="00EC0E67" w:rsidRDefault="00EC0E67" w:rsidP="00B426BC">
      <w:pPr>
        <w:jc w:val="center"/>
        <w:rPr>
          <w:b/>
          <w:sz w:val="36"/>
          <w:szCs w:val="36"/>
        </w:rPr>
      </w:pPr>
    </w:p>
    <w:p w:rsidR="00EC0E67" w:rsidRDefault="00EC0E67" w:rsidP="00B426BC">
      <w:pPr>
        <w:jc w:val="center"/>
        <w:rPr>
          <w:b/>
          <w:sz w:val="36"/>
          <w:szCs w:val="36"/>
        </w:rPr>
      </w:pPr>
    </w:p>
    <w:p w:rsidR="00EC0E67" w:rsidRDefault="00EC0E67" w:rsidP="00B426BC">
      <w:pPr>
        <w:jc w:val="center"/>
        <w:rPr>
          <w:b/>
          <w:sz w:val="36"/>
          <w:szCs w:val="36"/>
        </w:rPr>
      </w:pPr>
    </w:p>
    <w:p w:rsidR="00EC0E67" w:rsidRDefault="00EC0E67" w:rsidP="00B426BC">
      <w:pPr>
        <w:jc w:val="center"/>
        <w:rPr>
          <w:b/>
          <w:sz w:val="36"/>
          <w:szCs w:val="36"/>
        </w:rPr>
      </w:pPr>
    </w:p>
    <w:p w:rsidR="00EC0E67" w:rsidRDefault="00EC0E67" w:rsidP="00B426BC">
      <w:pPr>
        <w:jc w:val="center"/>
        <w:rPr>
          <w:b/>
          <w:sz w:val="36"/>
          <w:szCs w:val="36"/>
        </w:rPr>
      </w:pPr>
    </w:p>
    <w:p w:rsidR="00EC0E67" w:rsidRDefault="00EC0E67" w:rsidP="00B426BC">
      <w:pPr>
        <w:jc w:val="center"/>
        <w:rPr>
          <w:b/>
          <w:sz w:val="36"/>
          <w:szCs w:val="36"/>
        </w:rPr>
      </w:pPr>
    </w:p>
    <w:p w:rsidR="00EC0E67" w:rsidRDefault="00EC0E67" w:rsidP="00B426BC">
      <w:pPr>
        <w:jc w:val="center"/>
        <w:rPr>
          <w:b/>
          <w:sz w:val="36"/>
          <w:szCs w:val="36"/>
        </w:rPr>
      </w:pPr>
    </w:p>
    <w:p w:rsidR="00EC0E67" w:rsidRDefault="00EC0E67" w:rsidP="00B426BC">
      <w:pPr>
        <w:jc w:val="center"/>
        <w:rPr>
          <w:b/>
          <w:sz w:val="36"/>
          <w:szCs w:val="36"/>
        </w:rPr>
      </w:pPr>
    </w:p>
    <w:p w:rsidR="00EC0E67" w:rsidRDefault="00EC0E67" w:rsidP="00B426BC">
      <w:pPr>
        <w:jc w:val="center"/>
        <w:rPr>
          <w:b/>
          <w:sz w:val="36"/>
          <w:szCs w:val="36"/>
        </w:rPr>
      </w:pPr>
    </w:p>
    <w:p w:rsidR="00EC0E67" w:rsidRDefault="00EC0E67" w:rsidP="00B426BC">
      <w:pPr>
        <w:jc w:val="center"/>
        <w:rPr>
          <w:b/>
          <w:sz w:val="36"/>
          <w:szCs w:val="36"/>
        </w:rPr>
      </w:pPr>
    </w:p>
    <w:p w:rsidR="00EC0E67" w:rsidRDefault="00EC0E67" w:rsidP="00B426BC">
      <w:pPr>
        <w:jc w:val="center"/>
        <w:rPr>
          <w:b/>
          <w:sz w:val="36"/>
          <w:szCs w:val="36"/>
        </w:rPr>
      </w:pPr>
    </w:p>
    <w:p w:rsidR="007650A2" w:rsidRDefault="00B426BC" w:rsidP="007650A2">
      <w:pPr>
        <w:jc w:val="center"/>
        <w:rPr>
          <w:b/>
          <w:sz w:val="36"/>
          <w:szCs w:val="36"/>
        </w:rPr>
      </w:pPr>
      <w:r w:rsidRPr="00B426BC">
        <w:rPr>
          <w:b/>
          <w:sz w:val="36"/>
          <w:szCs w:val="36"/>
        </w:rPr>
        <w:t>References</w:t>
      </w:r>
    </w:p>
    <w:p w:rsidR="007650A2" w:rsidRPr="00695204" w:rsidRDefault="00305023" w:rsidP="00695204">
      <w:pPr>
        <w:pStyle w:val="ListParagraph"/>
        <w:numPr>
          <w:ilvl w:val="0"/>
          <w:numId w:val="24"/>
        </w:numPr>
      </w:pPr>
      <w:proofErr w:type="spellStart"/>
      <w:r w:rsidRPr="00695204">
        <w:t>Bezchlibnyk</w:t>
      </w:r>
      <w:proofErr w:type="spellEnd"/>
      <w:r w:rsidRPr="00695204">
        <w:t xml:space="preserve">-Butler, K., Jeffries, J., Procyshyn, R., Virani, A. (2014). </w:t>
      </w:r>
      <w:r w:rsidRPr="00695204">
        <w:rPr>
          <w:i/>
        </w:rPr>
        <w:t xml:space="preserve">Clinical Handbook of Psychotropic Drugs </w:t>
      </w:r>
      <w:r w:rsidRPr="00695204">
        <w:t xml:space="preserve">(20th </w:t>
      </w:r>
      <w:proofErr w:type="gramStart"/>
      <w:r w:rsidRPr="00695204">
        <w:t>ed</w:t>
      </w:r>
      <w:proofErr w:type="gramEnd"/>
      <w:r w:rsidRPr="00695204">
        <w:t xml:space="preserve">). </w:t>
      </w:r>
      <w:r w:rsidR="007650A2" w:rsidRPr="00695204">
        <w:t xml:space="preserve">Toronto: </w:t>
      </w:r>
      <w:proofErr w:type="spellStart"/>
      <w:r w:rsidRPr="00695204">
        <w:t>Hogrefe</w:t>
      </w:r>
      <w:proofErr w:type="spellEnd"/>
      <w:r w:rsidRPr="00695204">
        <w:t xml:space="preserve"> Publishing</w:t>
      </w:r>
    </w:p>
    <w:p w:rsidR="00305023" w:rsidRPr="00695204" w:rsidRDefault="00D53EBA" w:rsidP="00695204">
      <w:pPr>
        <w:pStyle w:val="ListParagraph"/>
        <w:numPr>
          <w:ilvl w:val="0"/>
          <w:numId w:val="24"/>
        </w:numPr>
      </w:pPr>
      <w:r w:rsidRPr="00695204">
        <w:rPr>
          <w:rFonts w:cs="Arial"/>
        </w:rPr>
        <w:t>National Centre for Education and Training on Addiction (NCETA) Consortium. (2004),</w:t>
      </w:r>
      <w:r w:rsidR="007650A2" w:rsidRPr="00695204">
        <w:rPr>
          <w:rFonts w:cs="Arial"/>
        </w:rPr>
        <w:t xml:space="preserve"> </w:t>
      </w:r>
      <w:r w:rsidRPr="00695204">
        <w:rPr>
          <w:rFonts w:cs="Arial"/>
          <w:i/>
        </w:rPr>
        <w:t>Alcohol and Other Drugs: A Handbook for Health Professionals</w:t>
      </w:r>
      <w:r w:rsidRPr="00695204">
        <w:rPr>
          <w:rFonts w:cs="Arial"/>
        </w:rPr>
        <w:t xml:space="preserve">. </w:t>
      </w:r>
      <w:r w:rsidR="00EF25E6" w:rsidRPr="00695204">
        <w:rPr>
          <w:rFonts w:cs="Arial"/>
        </w:rPr>
        <w:t>Retrieved on April 2, 2015, from http://www.health.gov.au/internet/main/</w:t>
      </w:r>
      <w:r w:rsidR="00695204" w:rsidRPr="00695204">
        <w:rPr>
          <w:rFonts w:cs="Arial"/>
        </w:rPr>
        <w:t xml:space="preserve"> </w:t>
      </w:r>
      <w:r w:rsidR="00EF25E6" w:rsidRPr="00695204">
        <w:rPr>
          <w:rFonts w:cs="Arial"/>
        </w:rPr>
        <w:t>publishing.nsf/Content/E5203E6D5CBAA696CA257BF0001E02ED/$File/aodgp.pdf</w:t>
      </w:r>
    </w:p>
    <w:p w:rsidR="00695204" w:rsidRPr="00695204" w:rsidRDefault="00695204" w:rsidP="00695204">
      <w:pPr>
        <w:pStyle w:val="ListParagraph"/>
        <w:numPr>
          <w:ilvl w:val="0"/>
          <w:numId w:val="24"/>
        </w:numPr>
      </w:pPr>
      <w:r w:rsidRPr="00695204">
        <w:t xml:space="preserve">Drug Enforcement Agency. (2011). </w:t>
      </w:r>
      <w:r w:rsidRPr="00695204">
        <w:rPr>
          <w:i/>
        </w:rPr>
        <w:t>Drugs of Abuse</w:t>
      </w:r>
      <w:r w:rsidRPr="00695204">
        <w:t xml:space="preserve">. Retrieved on April 1, 2015 from http://www.dea.gov/pr/multimedia-library/publications/drug_of_abuse.pdf#page=54 5. Lindsey WT, Stewart D, Childress D. Drug interactions between common illicit drugs and prescription therapies. </w:t>
      </w:r>
      <w:r w:rsidRPr="00695204">
        <w:rPr>
          <w:i/>
        </w:rPr>
        <w:t>Am J Drug Alcohol Abuse</w:t>
      </w:r>
      <w:r w:rsidRPr="00695204">
        <w:t>. 2012</w:t>
      </w:r>
      <w:proofErr w:type="gramStart"/>
      <w:r w:rsidRPr="00695204">
        <w:t>;38</w:t>
      </w:r>
      <w:proofErr w:type="gramEnd"/>
      <w:r w:rsidRPr="00695204">
        <w:t xml:space="preserve">(4):334-43. </w:t>
      </w:r>
    </w:p>
    <w:p w:rsidR="00695204" w:rsidRPr="00695204" w:rsidRDefault="00695204" w:rsidP="00695204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outlineLvl w:val="0"/>
      </w:pPr>
      <w:r w:rsidRPr="00695204">
        <w:rPr>
          <w:rFonts w:cs="Arial"/>
          <w:shd w:val="clear" w:color="auto" w:fill="FFFFFF"/>
        </w:rPr>
        <w:t>Lindsey, W. T., Stewart, D., &amp; Childress, D. (2012). Drug interactions between common illicit drugs and prescription therapies.</w:t>
      </w:r>
      <w:r w:rsidRPr="00695204">
        <w:rPr>
          <w:rStyle w:val="apple-converted-space"/>
          <w:rFonts w:cs="Arial"/>
          <w:shd w:val="clear" w:color="auto" w:fill="FFFFFF"/>
        </w:rPr>
        <w:t> </w:t>
      </w:r>
      <w:r w:rsidRPr="00695204">
        <w:rPr>
          <w:rFonts w:cs="Arial"/>
          <w:i/>
          <w:iCs/>
          <w:shd w:val="clear" w:color="auto" w:fill="FFFFFF"/>
        </w:rPr>
        <w:t>The American journal of drug and alcohol abuse</w:t>
      </w:r>
      <w:r w:rsidRPr="00695204">
        <w:rPr>
          <w:rFonts w:cs="Arial"/>
          <w:shd w:val="clear" w:color="auto" w:fill="FFFFFF"/>
        </w:rPr>
        <w:t>,</w:t>
      </w:r>
      <w:r w:rsidRPr="00695204">
        <w:rPr>
          <w:rStyle w:val="apple-converted-space"/>
          <w:rFonts w:cs="Arial"/>
          <w:shd w:val="clear" w:color="auto" w:fill="FFFFFF"/>
        </w:rPr>
        <w:t> </w:t>
      </w:r>
      <w:r w:rsidRPr="00695204">
        <w:rPr>
          <w:rFonts w:cs="Arial"/>
          <w:i/>
          <w:iCs/>
          <w:shd w:val="clear" w:color="auto" w:fill="FFFFFF"/>
        </w:rPr>
        <w:t>38</w:t>
      </w:r>
      <w:r w:rsidRPr="00695204">
        <w:rPr>
          <w:rFonts w:cs="Arial"/>
          <w:shd w:val="clear" w:color="auto" w:fill="FFFFFF"/>
        </w:rPr>
        <w:t>(4), 334-343.</w:t>
      </w:r>
      <w:r w:rsidRPr="00695204">
        <w:t xml:space="preserve"> </w:t>
      </w:r>
    </w:p>
    <w:p w:rsidR="00695204" w:rsidRPr="00695204" w:rsidRDefault="00695204" w:rsidP="00695204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outlineLvl w:val="0"/>
        <w:rPr>
          <w:rFonts w:eastAsia="Times New Roman" w:cs="Times New Roman"/>
        </w:rPr>
      </w:pPr>
      <w:r w:rsidRPr="00695204">
        <w:t xml:space="preserve">Food and Drug Administration. (2012). </w:t>
      </w:r>
      <w:proofErr w:type="spellStart"/>
      <w:r w:rsidR="00E67B6C" w:rsidRPr="00695204">
        <w:rPr>
          <w:rFonts w:eastAsia="Times New Roman" w:cs="Times New Roman"/>
          <w:i/>
        </w:rPr>
        <w:t>Xyrem</w:t>
      </w:r>
      <w:proofErr w:type="spellEnd"/>
      <w:r w:rsidR="00E67B6C" w:rsidRPr="00695204">
        <w:rPr>
          <w:rFonts w:eastAsia="Times New Roman" w:cs="Times New Roman"/>
          <w:i/>
        </w:rPr>
        <w:t xml:space="preserve"> (sodium </w:t>
      </w:r>
      <w:proofErr w:type="spellStart"/>
      <w:r w:rsidR="00E67B6C" w:rsidRPr="00695204">
        <w:rPr>
          <w:rFonts w:eastAsia="Times New Roman" w:cs="Times New Roman"/>
          <w:i/>
        </w:rPr>
        <w:t>oxybate</w:t>
      </w:r>
      <w:proofErr w:type="spellEnd"/>
      <w:r w:rsidR="00E67B6C" w:rsidRPr="00695204">
        <w:rPr>
          <w:rFonts w:eastAsia="Times New Roman" w:cs="Times New Roman"/>
          <w:i/>
        </w:rPr>
        <w:t xml:space="preserve">): Drug Safety Communication - Warning </w:t>
      </w:r>
      <w:proofErr w:type="gramStart"/>
      <w:r w:rsidR="00E67B6C" w:rsidRPr="00695204">
        <w:rPr>
          <w:rFonts w:eastAsia="Times New Roman" w:cs="Times New Roman"/>
          <w:i/>
        </w:rPr>
        <w:t>Against Use With</w:t>
      </w:r>
      <w:proofErr w:type="gramEnd"/>
      <w:r w:rsidR="00E67B6C" w:rsidRPr="00695204">
        <w:rPr>
          <w:rFonts w:eastAsia="Times New Roman" w:cs="Times New Roman"/>
          <w:i/>
        </w:rPr>
        <w:t xml:space="preserve"> Alcohol or Drugs Causing Respiratory Depression</w:t>
      </w:r>
      <w:r w:rsidR="00E67B6C" w:rsidRPr="00695204">
        <w:rPr>
          <w:rFonts w:eastAsia="Times New Roman" w:cs="Times New Roman"/>
        </w:rPr>
        <w:t xml:space="preserve">. </w:t>
      </w:r>
      <w:r w:rsidRPr="00695204">
        <w:rPr>
          <w:rFonts w:eastAsia="Times New Roman" w:cs="Times New Roman"/>
        </w:rPr>
        <w:t>Retrieved on April 3, 2015, from http://www.fda.gov/Safety/MedWatch/SafetyInformation/SafetyAlertsforHumanMedicalProducts/ucm332430.htm</w:t>
      </w:r>
    </w:p>
    <w:p w:rsidR="00695204" w:rsidRPr="00695204" w:rsidRDefault="00695204" w:rsidP="00695204">
      <w:pPr>
        <w:pStyle w:val="ListParagraph"/>
        <w:numPr>
          <w:ilvl w:val="0"/>
          <w:numId w:val="24"/>
        </w:numPr>
        <w:spacing w:after="0"/>
        <w:rPr>
          <w:rFonts w:cs="Arial"/>
          <w:shd w:val="clear" w:color="auto" w:fill="FFFFFF"/>
        </w:rPr>
      </w:pPr>
      <w:r w:rsidRPr="00695204">
        <w:rPr>
          <w:rFonts w:cs="Arial"/>
          <w:shd w:val="clear" w:color="auto" w:fill="FFFFFF"/>
        </w:rPr>
        <w:t xml:space="preserve">Eller, M., Wang, Y., </w:t>
      </w:r>
      <w:proofErr w:type="spellStart"/>
      <w:r w:rsidRPr="00695204">
        <w:rPr>
          <w:rFonts w:cs="Arial"/>
          <w:shd w:val="clear" w:color="auto" w:fill="FFFFFF"/>
        </w:rPr>
        <w:t>Wesnes</w:t>
      </w:r>
      <w:proofErr w:type="spellEnd"/>
      <w:r w:rsidRPr="00695204">
        <w:rPr>
          <w:rFonts w:cs="Arial"/>
          <w:shd w:val="clear" w:color="auto" w:fill="FFFFFF"/>
        </w:rPr>
        <w:t>, K., Alvarez-</w:t>
      </w:r>
      <w:proofErr w:type="spellStart"/>
      <w:r w:rsidRPr="00695204">
        <w:rPr>
          <w:rFonts w:cs="Arial"/>
          <w:shd w:val="clear" w:color="auto" w:fill="FFFFFF"/>
        </w:rPr>
        <w:t>Horine</w:t>
      </w:r>
      <w:proofErr w:type="spellEnd"/>
      <w:r w:rsidRPr="00695204">
        <w:rPr>
          <w:rFonts w:cs="Arial"/>
          <w:shd w:val="clear" w:color="auto" w:fill="FFFFFF"/>
        </w:rPr>
        <w:t xml:space="preserve">, S., Benson, B., &amp; Black, J. (2013). Evaluation of drug–drug interactions of sodium </w:t>
      </w:r>
      <w:proofErr w:type="spellStart"/>
      <w:r w:rsidRPr="00695204">
        <w:rPr>
          <w:rFonts w:cs="Arial"/>
          <w:shd w:val="clear" w:color="auto" w:fill="FFFFFF"/>
        </w:rPr>
        <w:t>oxybate</w:t>
      </w:r>
      <w:proofErr w:type="spellEnd"/>
      <w:r w:rsidRPr="00695204">
        <w:rPr>
          <w:rFonts w:cs="Arial"/>
          <w:shd w:val="clear" w:color="auto" w:fill="FFFFFF"/>
        </w:rPr>
        <w:t xml:space="preserve"> with </w:t>
      </w:r>
      <w:proofErr w:type="spellStart"/>
      <w:r w:rsidRPr="00695204">
        <w:rPr>
          <w:rFonts w:cs="Arial"/>
          <w:shd w:val="clear" w:color="auto" w:fill="FFFFFF"/>
        </w:rPr>
        <w:t>divalproex</w:t>
      </w:r>
      <w:proofErr w:type="spellEnd"/>
      <w:r w:rsidRPr="00695204">
        <w:rPr>
          <w:rFonts w:cs="Arial"/>
          <w:shd w:val="clear" w:color="auto" w:fill="FFFFFF"/>
        </w:rPr>
        <w:t>: Results from a pharmacokinetic/</w:t>
      </w:r>
      <w:proofErr w:type="spellStart"/>
      <w:r w:rsidRPr="00695204">
        <w:rPr>
          <w:rFonts w:cs="Arial"/>
          <w:shd w:val="clear" w:color="auto" w:fill="FFFFFF"/>
        </w:rPr>
        <w:t>pharmacodynamic</w:t>
      </w:r>
      <w:proofErr w:type="spellEnd"/>
      <w:r w:rsidRPr="00695204">
        <w:rPr>
          <w:rFonts w:cs="Arial"/>
          <w:shd w:val="clear" w:color="auto" w:fill="FFFFFF"/>
        </w:rPr>
        <w:t xml:space="preserve"> study.</w:t>
      </w:r>
      <w:r w:rsidRPr="00695204">
        <w:rPr>
          <w:rStyle w:val="apple-converted-space"/>
          <w:rFonts w:cs="Arial"/>
          <w:shd w:val="clear" w:color="auto" w:fill="FFFFFF"/>
        </w:rPr>
        <w:t> </w:t>
      </w:r>
      <w:r w:rsidRPr="00695204">
        <w:rPr>
          <w:rFonts w:cs="Arial"/>
          <w:i/>
          <w:iCs/>
          <w:shd w:val="clear" w:color="auto" w:fill="FFFFFF"/>
        </w:rPr>
        <w:t>Sleep Medicine</w:t>
      </w:r>
      <w:r w:rsidRPr="00695204">
        <w:rPr>
          <w:rFonts w:cs="Arial"/>
          <w:shd w:val="clear" w:color="auto" w:fill="FFFFFF"/>
        </w:rPr>
        <w:t>,</w:t>
      </w:r>
      <w:r w:rsidRPr="00695204">
        <w:rPr>
          <w:rStyle w:val="apple-converted-space"/>
          <w:rFonts w:cs="Arial"/>
          <w:shd w:val="clear" w:color="auto" w:fill="FFFFFF"/>
        </w:rPr>
        <w:t xml:space="preserve"> 14(1)</w:t>
      </w:r>
      <w:r w:rsidRPr="00695204">
        <w:rPr>
          <w:rFonts w:cs="Arial"/>
          <w:shd w:val="clear" w:color="auto" w:fill="FFFFFF"/>
        </w:rPr>
        <w:t>, e302-e303.</w:t>
      </w:r>
    </w:p>
    <w:p w:rsidR="00E67B6C" w:rsidRPr="00695204" w:rsidRDefault="00695204" w:rsidP="00695204">
      <w:pPr>
        <w:pStyle w:val="ListParagraph"/>
        <w:numPr>
          <w:ilvl w:val="0"/>
          <w:numId w:val="24"/>
        </w:numPr>
        <w:spacing w:after="0"/>
        <w:rPr>
          <w:rFonts w:cs="Arial"/>
          <w:shd w:val="clear" w:color="auto" w:fill="FFFFFF"/>
        </w:rPr>
      </w:pPr>
      <w:proofErr w:type="spellStart"/>
      <w:r w:rsidRPr="00695204">
        <w:rPr>
          <w:rFonts w:cs="Arial"/>
          <w:shd w:val="clear" w:color="auto" w:fill="FFFFFF"/>
        </w:rPr>
        <w:t>Hechler</w:t>
      </w:r>
      <w:proofErr w:type="spellEnd"/>
      <w:r w:rsidRPr="00695204">
        <w:rPr>
          <w:rFonts w:cs="Arial"/>
          <w:shd w:val="clear" w:color="auto" w:fill="FFFFFF"/>
        </w:rPr>
        <w:t xml:space="preserve">, V., </w:t>
      </w:r>
      <w:proofErr w:type="spellStart"/>
      <w:r w:rsidRPr="00695204">
        <w:rPr>
          <w:rFonts w:cs="Arial"/>
          <w:shd w:val="clear" w:color="auto" w:fill="FFFFFF"/>
        </w:rPr>
        <w:t>Ratomponirina</w:t>
      </w:r>
      <w:proofErr w:type="spellEnd"/>
      <w:r w:rsidRPr="00695204">
        <w:rPr>
          <w:rFonts w:cs="Arial"/>
          <w:shd w:val="clear" w:color="auto" w:fill="FFFFFF"/>
        </w:rPr>
        <w:t xml:space="preserve">, C., &amp; </w:t>
      </w:r>
      <w:proofErr w:type="spellStart"/>
      <w:r w:rsidRPr="00695204">
        <w:rPr>
          <w:rFonts w:cs="Arial"/>
          <w:shd w:val="clear" w:color="auto" w:fill="FFFFFF"/>
        </w:rPr>
        <w:t>Maitre</w:t>
      </w:r>
      <w:proofErr w:type="spellEnd"/>
      <w:r w:rsidRPr="00695204">
        <w:rPr>
          <w:rFonts w:cs="Arial"/>
          <w:shd w:val="clear" w:color="auto" w:fill="FFFFFF"/>
        </w:rPr>
        <w:t xml:space="preserve">, M. (1997). </w:t>
      </w:r>
      <w:proofErr w:type="gramStart"/>
      <w:r w:rsidRPr="00695204">
        <w:rPr>
          <w:rFonts w:cs="Arial"/>
          <w:shd w:val="clear" w:color="auto" w:fill="FFFFFF"/>
        </w:rPr>
        <w:t>γ-</w:t>
      </w:r>
      <w:proofErr w:type="spellStart"/>
      <w:r w:rsidRPr="00695204">
        <w:rPr>
          <w:rFonts w:cs="Arial"/>
          <w:shd w:val="clear" w:color="auto" w:fill="FFFFFF"/>
        </w:rPr>
        <w:t>Hydroxybutyrate</w:t>
      </w:r>
      <w:proofErr w:type="spellEnd"/>
      <w:proofErr w:type="gramEnd"/>
      <w:r w:rsidRPr="00695204">
        <w:rPr>
          <w:rFonts w:cs="Arial"/>
          <w:shd w:val="clear" w:color="auto" w:fill="FFFFFF"/>
        </w:rPr>
        <w:t xml:space="preserve"> conversion into GABA induces displacement of GABAB binding that is blocked by valproate and </w:t>
      </w:r>
      <w:proofErr w:type="spellStart"/>
      <w:r w:rsidRPr="00695204">
        <w:rPr>
          <w:rFonts w:cs="Arial"/>
          <w:shd w:val="clear" w:color="auto" w:fill="FFFFFF"/>
        </w:rPr>
        <w:t>ethosuximide</w:t>
      </w:r>
      <w:proofErr w:type="spellEnd"/>
      <w:r w:rsidRPr="00695204">
        <w:rPr>
          <w:rFonts w:cs="Arial"/>
          <w:shd w:val="clear" w:color="auto" w:fill="FFFFFF"/>
        </w:rPr>
        <w:t>.</w:t>
      </w:r>
      <w:r w:rsidRPr="00695204">
        <w:rPr>
          <w:rStyle w:val="apple-converted-space"/>
          <w:rFonts w:cs="Arial"/>
          <w:shd w:val="clear" w:color="auto" w:fill="FFFFFF"/>
        </w:rPr>
        <w:t> </w:t>
      </w:r>
      <w:r w:rsidRPr="00695204">
        <w:rPr>
          <w:rFonts w:cs="Arial"/>
          <w:i/>
          <w:iCs/>
          <w:shd w:val="clear" w:color="auto" w:fill="FFFFFF"/>
        </w:rPr>
        <w:t>Journal of Pharmacology and Experimental Therapeutics</w:t>
      </w:r>
      <w:r w:rsidRPr="00695204">
        <w:rPr>
          <w:rFonts w:cs="Arial"/>
          <w:shd w:val="clear" w:color="auto" w:fill="FFFFFF"/>
        </w:rPr>
        <w:t>,</w:t>
      </w:r>
      <w:r w:rsidRPr="00695204">
        <w:rPr>
          <w:rStyle w:val="apple-converted-space"/>
          <w:rFonts w:cs="Arial"/>
          <w:shd w:val="clear" w:color="auto" w:fill="FFFFFF"/>
        </w:rPr>
        <w:t> </w:t>
      </w:r>
      <w:r w:rsidRPr="00695204">
        <w:rPr>
          <w:rFonts w:cs="Arial"/>
          <w:i/>
          <w:iCs/>
          <w:shd w:val="clear" w:color="auto" w:fill="FFFFFF"/>
        </w:rPr>
        <w:t>281</w:t>
      </w:r>
      <w:r w:rsidRPr="00695204">
        <w:rPr>
          <w:rFonts w:cs="Arial"/>
          <w:shd w:val="clear" w:color="auto" w:fill="FFFFFF"/>
        </w:rPr>
        <w:t>(2), 753-760.</w:t>
      </w:r>
    </w:p>
    <w:p w:rsidR="00E67B6C" w:rsidRPr="00695204" w:rsidRDefault="00695204" w:rsidP="00695204">
      <w:pPr>
        <w:pStyle w:val="ListParagraph"/>
        <w:numPr>
          <w:ilvl w:val="0"/>
          <w:numId w:val="24"/>
        </w:numPr>
        <w:spacing w:after="0"/>
        <w:rPr>
          <w:rFonts w:cs="Arial"/>
          <w:shd w:val="clear" w:color="auto" w:fill="FFFFFF"/>
        </w:rPr>
      </w:pPr>
      <w:r w:rsidRPr="00695204">
        <w:rPr>
          <w:rFonts w:cs="Arial"/>
          <w:shd w:val="clear" w:color="auto" w:fill="FFFFFF"/>
        </w:rPr>
        <w:t xml:space="preserve">Thai, D., Dyer, J. E., </w:t>
      </w:r>
      <w:proofErr w:type="spellStart"/>
      <w:r w:rsidRPr="00695204">
        <w:rPr>
          <w:rFonts w:cs="Arial"/>
          <w:shd w:val="clear" w:color="auto" w:fill="FFFFFF"/>
        </w:rPr>
        <w:t>Benowitz</w:t>
      </w:r>
      <w:proofErr w:type="spellEnd"/>
      <w:r w:rsidRPr="00695204">
        <w:rPr>
          <w:rFonts w:cs="Arial"/>
          <w:shd w:val="clear" w:color="auto" w:fill="FFFFFF"/>
        </w:rPr>
        <w:t>, N. L., &amp; Haller, C. A. (2006). GHB and ethanol effects and interactions in humans.</w:t>
      </w:r>
      <w:r w:rsidRPr="00695204">
        <w:rPr>
          <w:rStyle w:val="apple-converted-space"/>
          <w:rFonts w:cs="Arial"/>
          <w:shd w:val="clear" w:color="auto" w:fill="FFFFFF"/>
        </w:rPr>
        <w:t> </w:t>
      </w:r>
      <w:r w:rsidRPr="00695204">
        <w:rPr>
          <w:rFonts w:cs="Arial"/>
          <w:i/>
          <w:iCs/>
          <w:shd w:val="clear" w:color="auto" w:fill="FFFFFF"/>
        </w:rPr>
        <w:t>Journal of clinical psychopharmacology</w:t>
      </w:r>
      <w:proofErr w:type="gramStart"/>
      <w:r w:rsidRPr="00695204">
        <w:rPr>
          <w:rFonts w:cs="Arial"/>
          <w:shd w:val="clear" w:color="auto" w:fill="FFFFFF"/>
        </w:rPr>
        <w:t>,</w:t>
      </w:r>
      <w:r w:rsidRPr="00695204">
        <w:rPr>
          <w:rFonts w:cs="Arial"/>
          <w:i/>
          <w:iCs/>
          <w:shd w:val="clear" w:color="auto" w:fill="FFFFFF"/>
        </w:rPr>
        <w:t>26</w:t>
      </w:r>
      <w:proofErr w:type="gramEnd"/>
      <w:r w:rsidRPr="00695204">
        <w:rPr>
          <w:rFonts w:cs="Arial"/>
          <w:shd w:val="clear" w:color="auto" w:fill="FFFFFF"/>
        </w:rPr>
        <w:t>(5), 524.</w:t>
      </w:r>
    </w:p>
    <w:p w:rsidR="00F36519" w:rsidRPr="00695204" w:rsidRDefault="00695204" w:rsidP="00695204">
      <w:pPr>
        <w:pStyle w:val="ListParagraph"/>
        <w:numPr>
          <w:ilvl w:val="0"/>
          <w:numId w:val="24"/>
        </w:numPr>
        <w:spacing w:after="0"/>
        <w:rPr>
          <w:rFonts w:cs="Arial"/>
          <w:shd w:val="clear" w:color="auto" w:fill="FFFFFF"/>
        </w:rPr>
      </w:pPr>
      <w:r w:rsidRPr="00695204">
        <w:rPr>
          <w:rFonts w:cs="Arial"/>
          <w:shd w:val="clear" w:color="auto" w:fill="FFFFFF"/>
        </w:rPr>
        <w:t xml:space="preserve">Weiss, T., Müller, D., Marti, I., </w:t>
      </w:r>
      <w:proofErr w:type="spellStart"/>
      <w:r w:rsidRPr="00695204">
        <w:rPr>
          <w:rFonts w:cs="Arial"/>
          <w:shd w:val="clear" w:color="auto" w:fill="FFFFFF"/>
        </w:rPr>
        <w:t>Happold</w:t>
      </w:r>
      <w:proofErr w:type="spellEnd"/>
      <w:r w:rsidRPr="00695204">
        <w:rPr>
          <w:rFonts w:cs="Arial"/>
          <w:shd w:val="clear" w:color="auto" w:fill="FFFFFF"/>
        </w:rPr>
        <w:t xml:space="preserve">, C., &amp; </w:t>
      </w:r>
      <w:proofErr w:type="spellStart"/>
      <w:r w:rsidRPr="00695204">
        <w:rPr>
          <w:rFonts w:cs="Arial"/>
          <w:shd w:val="clear" w:color="auto" w:fill="FFFFFF"/>
        </w:rPr>
        <w:t>Russmann</w:t>
      </w:r>
      <w:proofErr w:type="spellEnd"/>
      <w:r w:rsidRPr="00695204">
        <w:rPr>
          <w:rFonts w:cs="Arial"/>
          <w:shd w:val="clear" w:color="auto" w:fill="FFFFFF"/>
        </w:rPr>
        <w:t>, S. (2013). Gamma-</w:t>
      </w:r>
      <w:proofErr w:type="spellStart"/>
      <w:r w:rsidRPr="00695204">
        <w:rPr>
          <w:rFonts w:cs="Arial"/>
          <w:shd w:val="clear" w:color="auto" w:fill="FFFFFF"/>
        </w:rPr>
        <w:t>hydroxybutyrate</w:t>
      </w:r>
      <w:proofErr w:type="spellEnd"/>
      <w:r w:rsidRPr="00695204">
        <w:rPr>
          <w:rFonts w:cs="Arial"/>
          <w:shd w:val="clear" w:color="auto" w:fill="FFFFFF"/>
        </w:rPr>
        <w:t xml:space="preserve"> (GHB) and </w:t>
      </w:r>
      <w:proofErr w:type="spellStart"/>
      <w:r w:rsidRPr="00695204">
        <w:rPr>
          <w:rFonts w:cs="Arial"/>
          <w:shd w:val="clear" w:color="auto" w:fill="FFFFFF"/>
        </w:rPr>
        <w:t>topiramate</w:t>
      </w:r>
      <w:proofErr w:type="spellEnd"/>
      <w:r w:rsidRPr="00695204">
        <w:rPr>
          <w:rFonts w:cs="Arial"/>
          <w:shd w:val="clear" w:color="auto" w:fill="FFFFFF"/>
        </w:rPr>
        <w:t xml:space="preserve">—clinically relevant drug interaction suggested by a case of coma and increased plasma GHB </w:t>
      </w:r>
      <w:proofErr w:type="spellStart"/>
      <w:r w:rsidRPr="00695204">
        <w:rPr>
          <w:rFonts w:cs="Arial"/>
          <w:shd w:val="clear" w:color="auto" w:fill="FFFFFF"/>
        </w:rPr>
        <w:t>concentration.</w:t>
      </w:r>
      <w:r w:rsidRPr="00695204">
        <w:rPr>
          <w:rFonts w:cs="Arial"/>
          <w:i/>
          <w:iCs/>
          <w:shd w:val="clear" w:color="auto" w:fill="FFFFFF"/>
        </w:rPr>
        <w:t>European</w:t>
      </w:r>
      <w:proofErr w:type="spellEnd"/>
      <w:r w:rsidRPr="00695204">
        <w:rPr>
          <w:rFonts w:cs="Arial"/>
          <w:i/>
          <w:iCs/>
          <w:shd w:val="clear" w:color="auto" w:fill="FFFFFF"/>
        </w:rPr>
        <w:t xml:space="preserve"> journal of clinical pharmacology</w:t>
      </w:r>
      <w:r w:rsidRPr="00695204">
        <w:rPr>
          <w:rFonts w:cs="Arial"/>
          <w:shd w:val="clear" w:color="auto" w:fill="FFFFFF"/>
        </w:rPr>
        <w:t>,</w:t>
      </w:r>
      <w:r w:rsidRPr="00695204">
        <w:rPr>
          <w:rStyle w:val="apple-converted-space"/>
          <w:rFonts w:cs="Arial"/>
          <w:shd w:val="clear" w:color="auto" w:fill="FFFFFF"/>
        </w:rPr>
        <w:t> </w:t>
      </w:r>
      <w:r w:rsidRPr="00695204">
        <w:rPr>
          <w:rFonts w:cs="Arial"/>
          <w:i/>
          <w:iCs/>
          <w:shd w:val="clear" w:color="auto" w:fill="FFFFFF"/>
        </w:rPr>
        <w:t>69</w:t>
      </w:r>
      <w:r w:rsidRPr="00695204">
        <w:rPr>
          <w:rFonts w:cs="Arial"/>
          <w:shd w:val="clear" w:color="auto" w:fill="FFFFFF"/>
        </w:rPr>
        <w:t>(5), 1193-1194.</w:t>
      </w:r>
    </w:p>
    <w:p w:rsidR="00F36519" w:rsidRPr="00695204" w:rsidRDefault="00F36519" w:rsidP="00695204">
      <w:pPr>
        <w:pStyle w:val="ListParagraph"/>
        <w:numPr>
          <w:ilvl w:val="0"/>
          <w:numId w:val="24"/>
        </w:numPr>
        <w:spacing w:line="240" w:lineRule="auto"/>
        <w:rPr>
          <w:rStyle w:val="Hyperlink"/>
          <w:rFonts w:cs="Times New Roman"/>
          <w:color w:val="auto"/>
        </w:rPr>
      </w:pPr>
      <w:r w:rsidRPr="00695204">
        <w:rPr>
          <w:rStyle w:val="Hyperlink"/>
          <w:rFonts w:cs="Times New Roman"/>
          <w:color w:val="auto"/>
          <w:u w:val="none"/>
        </w:rPr>
        <w:t xml:space="preserve">Townsend, M.C. (2015). </w:t>
      </w:r>
      <w:r w:rsidRPr="00695204">
        <w:rPr>
          <w:rStyle w:val="Hyperlink"/>
          <w:rFonts w:cs="Times New Roman"/>
          <w:i/>
          <w:color w:val="auto"/>
          <w:u w:val="none"/>
        </w:rPr>
        <w:t xml:space="preserve">Psychiatric Nursing: Assessment, Care Plans, and Medications. </w:t>
      </w:r>
      <w:r w:rsidRPr="00695204">
        <w:rPr>
          <w:rStyle w:val="Hyperlink"/>
          <w:rFonts w:cs="Times New Roman"/>
          <w:color w:val="auto"/>
          <w:u w:val="none"/>
        </w:rPr>
        <w:t>Oklahoma: F.A. Davis Company.</w:t>
      </w:r>
    </w:p>
    <w:p w:rsidR="00F36519" w:rsidRPr="00695204" w:rsidRDefault="00F36519" w:rsidP="00E67B6C">
      <w:pPr>
        <w:spacing w:after="0"/>
      </w:pPr>
    </w:p>
    <w:p w:rsidR="00E67B6C" w:rsidRPr="00E67B6C" w:rsidRDefault="00E67B6C" w:rsidP="00E67B6C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</w:rPr>
      </w:pPr>
    </w:p>
    <w:p w:rsidR="00E67B6C" w:rsidRPr="009D574D" w:rsidRDefault="00E67B6C" w:rsidP="00E67B6C">
      <w:pPr>
        <w:spacing w:after="0"/>
      </w:pPr>
    </w:p>
    <w:p w:rsidR="00E67B6C" w:rsidRPr="00D53EBA" w:rsidRDefault="00E67B6C"/>
    <w:sectPr w:rsidR="00E67B6C" w:rsidRPr="00D53EBA" w:rsidSect="007B6967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AE6" w:rsidRDefault="00941AE6" w:rsidP="00941AE6">
      <w:pPr>
        <w:spacing w:after="0" w:line="240" w:lineRule="auto"/>
      </w:pPr>
      <w:r>
        <w:separator/>
      </w:r>
    </w:p>
  </w:endnote>
  <w:endnote w:type="continuationSeparator" w:id="0">
    <w:p w:rsidR="00941AE6" w:rsidRDefault="00941AE6" w:rsidP="0094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AE6" w:rsidRDefault="00941AE6" w:rsidP="00941AE6">
      <w:pPr>
        <w:spacing w:after="0" w:line="240" w:lineRule="auto"/>
      </w:pPr>
      <w:r>
        <w:separator/>
      </w:r>
    </w:p>
  </w:footnote>
  <w:footnote w:type="continuationSeparator" w:id="0">
    <w:p w:rsidR="00941AE6" w:rsidRDefault="00941AE6" w:rsidP="00941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AE6" w:rsidRDefault="00941AE6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5CB856EE" wp14:editId="26EBC4A0">
          <wp:simplePos x="0" y="0"/>
          <wp:positionH relativeFrom="column">
            <wp:posOffset>-53975</wp:posOffset>
          </wp:positionH>
          <wp:positionV relativeFrom="paragraph">
            <wp:posOffset>-353060</wp:posOffset>
          </wp:positionV>
          <wp:extent cx="436245" cy="436245"/>
          <wp:effectExtent l="0" t="0" r="1905" b="1905"/>
          <wp:wrapThrough wrapText="bothSides">
            <wp:wrapPolygon edited="0">
              <wp:start x="0" y="0"/>
              <wp:lineTo x="0" y="20751"/>
              <wp:lineTo x="20751" y="20751"/>
              <wp:lineTo x="20751" y="0"/>
              <wp:lineTo x="0" y="0"/>
            </wp:wrapPolygon>
          </wp:wrapThrough>
          <wp:docPr id="4" name="Picture 4" descr="E:\For Bill\Butt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For Bill\Butto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704"/>
    <w:multiLevelType w:val="hybridMultilevel"/>
    <w:tmpl w:val="48F2EA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54195"/>
    <w:multiLevelType w:val="hybridMultilevel"/>
    <w:tmpl w:val="051AF44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432316"/>
    <w:multiLevelType w:val="hybridMultilevel"/>
    <w:tmpl w:val="8AE4E63E"/>
    <w:lvl w:ilvl="0" w:tplc="89B8F0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E2E07"/>
    <w:multiLevelType w:val="hybridMultilevel"/>
    <w:tmpl w:val="2BF0F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72DD8"/>
    <w:multiLevelType w:val="hybridMultilevel"/>
    <w:tmpl w:val="C4B006E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6C285F"/>
    <w:multiLevelType w:val="hybridMultilevel"/>
    <w:tmpl w:val="F59E684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B238E3"/>
    <w:multiLevelType w:val="hybridMultilevel"/>
    <w:tmpl w:val="32BA58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93F51"/>
    <w:multiLevelType w:val="hybridMultilevel"/>
    <w:tmpl w:val="90FC982E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1357B2"/>
    <w:multiLevelType w:val="hybridMultilevel"/>
    <w:tmpl w:val="299807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6415C0"/>
    <w:multiLevelType w:val="hybridMultilevel"/>
    <w:tmpl w:val="8BD4E16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B63ABC"/>
    <w:multiLevelType w:val="hybridMultilevel"/>
    <w:tmpl w:val="E53A90F0"/>
    <w:lvl w:ilvl="0" w:tplc="D786BD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3E5759"/>
    <w:multiLevelType w:val="hybridMultilevel"/>
    <w:tmpl w:val="510E1052"/>
    <w:lvl w:ilvl="0" w:tplc="89B8F0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87E47"/>
    <w:multiLevelType w:val="hybridMultilevel"/>
    <w:tmpl w:val="5930E804"/>
    <w:lvl w:ilvl="0" w:tplc="490E232A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14493F"/>
    <w:multiLevelType w:val="hybridMultilevel"/>
    <w:tmpl w:val="70AAAD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9E70DA"/>
    <w:multiLevelType w:val="hybridMultilevel"/>
    <w:tmpl w:val="8172559A"/>
    <w:lvl w:ilvl="0" w:tplc="4CA8600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9700F73"/>
    <w:multiLevelType w:val="hybridMultilevel"/>
    <w:tmpl w:val="C52A52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1713140"/>
    <w:multiLevelType w:val="hybridMultilevel"/>
    <w:tmpl w:val="218ECF0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92225F"/>
    <w:multiLevelType w:val="hybridMultilevel"/>
    <w:tmpl w:val="AB101E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5CD65346"/>
    <w:multiLevelType w:val="hybridMultilevel"/>
    <w:tmpl w:val="C7B2B6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4A28CD"/>
    <w:multiLevelType w:val="hybridMultilevel"/>
    <w:tmpl w:val="857A3840"/>
    <w:lvl w:ilvl="0" w:tplc="490E232A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0FC5F11"/>
    <w:multiLevelType w:val="hybridMultilevel"/>
    <w:tmpl w:val="E1A8A532"/>
    <w:lvl w:ilvl="0" w:tplc="89B8F0DE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49E3E54"/>
    <w:multiLevelType w:val="hybridMultilevel"/>
    <w:tmpl w:val="C9207C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397B3E"/>
    <w:multiLevelType w:val="hybridMultilevel"/>
    <w:tmpl w:val="BD8C1B6C"/>
    <w:lvl w:ilvl="0" w:tplc="89B8F0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4830C6"/>
    <w:multiLevelType w:val="hybridMultilevel"/>
    <w:tmpl w:val="A1BC33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BA7033"/>
    <w:multiLevelType w:val="hybridMultilevel"/>
    <w:tmpl w:val="48763BA4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13A0E54"/>
    <w:multiLevelType w:val="hybridMultilevel"/>
    <w:tmpl w:val="B48CD73C"/>
    <w:lvl w:ilvl="0" w:tplc="89B8F0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AF692F"/>
    <w:multiLevelType w:val="hybridMultilevel"/>
    <w:tmpl w:val="1C8681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2"/>
  </w:num>
  <w:num w:numId="4">
    <w:abstractNumId w:val="2"/>
  </w:num>
  <w:num w:numId="5">
    <w:abstractNumId w:val="11"/>
  </w:num>
  <w:num w:numId="6">
    <w:abstractNumId w:val="25"/>
  </w:num>
  <w:num w:numId="7">
    <w:abstractNumId w:val="14"/>
  </w:num>
  <w:num w:numId="8">
    <w:abstractNumId w:val="1"/>
  </w:num>
  <w:num w:numId="9">
    <w:abstractNumId w:val="7"/>
  </w:num>
  <w:num w:numId="10">
    <w:abstractNumId w:val="24"/>
  </w:num>
  <w:num w:numId="11">
    <w:abstractNumId w:val="8"/>
  </w:num>
  <w:num w:numId="12">
    <w:abstractNumId w:val="3"/>
  </w:num>
  <w:num w:numId="13">
    <w:abstractNumId w:val="18"/>
  </w:num>
  <w:num w:numId="14">
    <w:abstractNumId w:val="13"/>
  </w:num>
  <w:num w:numId="15">
    <w:abstractNumId w:val="4"/>
  </w:num>
  <w:num w:numId="16">
    <w:abstractNumId w:val="26"/>
  </w:num>
  <w:num w:numId="17">
    <w:abstractNumId w:val="23"/>
  </w:num>
  <w:num w:numId="18">
    <w:abstractNumId w:val="9"/>
  </w:num>
  <w:num w:numId="19">
    <w:abstractNumId w:val="10"/>
  </w:num>
  <w:num w:numId="20">
    <w:abstractNumId w:val="15"/>
  </w:num>
  <w:num w:numId="21">
    <w:abstractNumId w:val="17"/>
  </w:num>
  <w:num w:numId="22">
    <w:abstractNumId w:val="12"/>
  </w:num>
  <w:num w:numId="23">
    <w:abstractNumId w:val="5"/>
  </w:num>
  <w:num w:numId="24">
    <w:abstractNumId w:val="0"/>
  </w:num>
  <w:num w:numId="25">
    <w:abstractNumId w:val="16"/>
  </w:num>
  <w:num w:numId="26">
    <w:abstractNumId w:val="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9D"/>
    <w:rsid w:val="00066532"/>
    <w:rsid w:val="000A0515"/>
    <w:rsid w:val="001C4259"/>
    <w:rsid w:val="002550B9"/>
    <w:rsid w:val="0025652F"/>
    <w:rsid w:val="002D5E43"/>
    <w:rsid w:val="00305023"/>
    <w:rsid w:val="00390565"/>
    <w:rsid w:val="00423BDA"/>
    <w:rsid w:val="00453E60"/>
    <w:rsid w:val="004E5B45"/>
    <w:rsid w:val="00560831"/>
    <w:rsid w:val="005B62C7"/>
    <w:rsid w:val="0060205E"/>
    <w:rsid w:val="00695204"/>
    <w:rsid w:val="007650A2"/>
    <w:rsid w:val="007B6967"/>
    <w:rsid w:val="007D43A6"/>
    <w:rsid w:val="007E582E"/>
    <w:rsid w:val="0087543F"/>
    <w:rsid w:val="008A2760"/>
    <w:rsid w:val="008D2F91"/>
    <w:rsid w:val="009278B0"/>
    <w:rsid w:val="00941AE6"/>
    <w:rsid w:val="009A609D"/>
    <w:rsid w:val="009F207A"/>
    <w:rsid w:val="00AA46F9"/>
    <w:rsid w:val="00B426BC"/>
    <w:rsid w:val="00B4706D"/>
    <w:rsid w:val="00C32362"/>
    <w:rsid w:val="00CE3EDF"/>
    <w:rsid w:val="00CE6F24"/>
    <w:rsid w:val="00D13EFB"/>
    <w:rsid w:val="00D53EBA"/>
    <w:rsid w:val="00DC58D7"/>
    <w:rsid w:val="00E056D1"/>
    <w:rsid w:val="00E67B6C"/>
    <w:rsid w:val="00E8278C"/>
    <w:rsid w:val="00EC0E67"/>
    <w:rsid w:val="00EF25E6"/>
    <w:rsid w:val="00F0780B"/>
    <w:rsid w:val="00F36519"/>
    <w:rsid w:val="00F43551"/>
    <w:rsid w:val="00F4397E"/>
    <w:rsid w:val="00FA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60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35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EB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E3ED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95204"/>
  </w:style>
  <w:style w:type="paragraph" w:styleId="Header">
    <w:name w:val="header"/>
    <w:basedOn w:val="Normal"/>
    <w:link w:val="HeaderChar"/>
    <w:uiPriority w:val="99"/>
    <w:unhideWhenUsed/>
    <w:rsid w:val="00941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AE6"/>
  </w:style>
  <w:style w:type="paragraph" w:styleId="Footer">
    <w:name w:val="footer"/>
    <w:basedOn w:val="Normal"/>
    <w:link w:val="FooterChar"/>
    <w:uiPriority w:val="99"/>
    <w:unhideWhenUsed/>
    <w:rsid w:val="00941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60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35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EB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E3ED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95204"/>
  </w:style>
  <w:style w:type="paragraph" w:styleId="Header">
    <w:name w:val="header"/>
    <w:basedOn w:val="Normal"/>
    <w:link w:val="HeaderChar"/>
    <w:uiPriority w:val="99"/>
    <w:unhideWhenUsed/>
    <w:rsid w:val="00941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AE6"/>
  </w:style>
  <w:style w:type="paragraph" w:styleId="Footer">
    <w:name w:val="footer"/>
    <w:basedOn w:val="Normal"/>
    <w:link w:val="FooterChar"/>
    <w:uiPriority w:val="99"/>
    <w:unhideWhenUsed/>
    <w:rsid w:val="00941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Joseph's Healthcare Hamilton</Company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33</cp:revision>
  <cp:lastPrinted>2015-06-09T14:03:00Z</cp:lastPrinted>
  <dcterms:created xsi:type="dcterms:W3CDTF">2015-02-11T14:12:00Z</dcterms:created>
  <dcterms:modified xsi:type="dcterms:W3CDTF">2015-06-09T14:05:00Z</dcterms:modified>
</cp:coreProperties>
</file>