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9438"/>
      </w:tblGrid>
      <w:tr w:rsidR="004C6866" w:rsidTr="004C6866">
        <w:tc>
          <w:tcPr>
            <w:tcW w:w="11016" w:type="dxa"/>
            <w:gridSpan w:val="2"/>
            <w:shd w:val="clear" w:color="auto" w:fill="17365D" w:themeFill="text2" w:themeFillShade="BF"/>
          </w:tcPr>
          <w:p w:rsidR="004C6866" w:rsidRPr="004C6866" w:rsidRDefault="004C6866" w:rsidP="004C6866">
            <w:pPr>
              <w:jc w:val="center"/>
              <w:rPr>
                <w:rFonts w:ascii="Trebuchet MS" w:hAnsi="Trebuchet MS"/>
                <w:b/>
              </w:rPr>
            </w:pPr>
            <w:r w:rsidRPr="004C6866">
              <w:rPr>
                <w:rFonts w:ascii="Trebuchet MS" w:hAnsi="Trebuchet MS"/>
                <w:b/>
                <w:color w:val="FFFFFF" w:themeColor="background1"/>
                <w:sz w:val="40"/>
              </w:rPr>
              <w:t>Alcohol</w:t>
            </w:r>
          </w:p>
        </w:tc>
      </w:tr>
      <w:tr w:rsidR="004C6866" w:rsidTr="00A756C9">
        <w:tc>
          <w:tcPr>
            <w:tcW w:w="11016" w:type="dxa"/>
            <w:gridSpan w:val="2"/>
          </w:tcPr>
          <w:p w:rsidR="004C6866" w:rsidRPr="00CD0354" w:rsidRDefault="004C6866" w:rsidP="004C68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A2753A0" wp14:editId="21BFCE9C">
                  <wp:simplePos x="0" y="0"/>
                  <wp:positionH relativeFrom="column">
                    <wp:posOffset>4897755</wp:posOffset>
                  </wp:positionH>
                  <wp:positionV relativeFrom="paragraph">
                    <wp:posOffset>12065</wp:posOffset>
                  </wp:positionV>
                  <wp:extent cx="1985645" cy="1129665"/>
                  <wp:effectExtent l="0" t="0" r="0" b="0"/>
                  <wp:wrapThrough wrapText="bothSides">
                    <wp:wrapPolygon edited="0">
                      <wp:start x="0" y="0"/>
                      <wp:lineTo x="0" y="21126"/>
                      <wp:lineTo x="21344" y="21126"/>
                      <wp:lineTo x="2134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%20drink%20for%20we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13"/>
                          <a:stretch/>
                        </pic:blipFill>
                        <pic:spPr bwMode="auto">
                          <a:xfrm>
                            <a:off x="0" y="0"/>
                            <a:ext cx="1985645" cy="112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0354">
              <w:rPr>
                <w:b/>
                <w:bCs/>
                <w:sz w:val="20"/>
                <w:szCs w:val="18"/>
              </w:rPr>
              <w:t>Common names</w:t>
            </w:r>
            <w:r w:rsidRPr="00CD0354">
              <w:rPr>
                <w:bCs/>
                <w:sz w:val="20"/>
                <w:szCs w:val="18"/>
              </w:rPr>
              <w:t>: Booze, liquor, drinks, cocktails, nightcaps, moonshine</w:t>
            </w:r>
          </w:p>
          <w:p w:rsidR="004C6866" w:rsidRPr="004C6866" w:rsidRDefault="004C6866" w:rsidP="004C6866">
            <w:pPr>
              <w:pStyle w:val="ListParagraph"/>
              <w:numPr>
                <w:ilvl w:val="0"/>
                <w:numId w:val="1"/>
              </w:numPr>
            </w:pPr>
            <w:r w:rsidRPr="00CD0354">
              <w:rPr>
                <w:b/>
                <w:sz w:val="20"/>
                <w:szCs w:val="20"/>
              </w:rPr>
              <w:t>Trade names:</w:t>
            </w:r>
            <w:r w:rsidRPr="00CD0354">
              <w:rPr>
                <w:sz w:val="20"/>
                <w:szCs w:val="20"/>
              </w:rPr>
              <w:t xml:space="preserve"> Ethyl alcohol, beer, gin, rum, vodka, bourbon, </w:t>
            </w:r>
            <w:r w:rsidR="002F64E7" w:rsidRPr="00CD0354">
              <w:rPr>
                <w:sz w:val="20"/>
                <w:szCs w:val="20"/>
              </w:rPr>
              <w:t>whiskey</w:t>
            </w:r>
            <w:r w:rsidRPr="00CD0354">
              <w:rPr>
                <w:sz w:val="20"/>
                <w:szCs w:val="20"/>
              </w:rPr>
              <w:t>, liqueurs, wine, brandy, sherry, champagne</w:t>
            </w:r>
            <w:r w:rsidRPr="00CD0354">
              <w:rPr>
                <w:sz w:val="20"/>
                <w:szCs w:val="20"/>
                <w:vertAlign w:val="superscript"/>
              </w:rPr>
              <w:t>4</w:t>
            </w:r>
          </w:p>
          <w:p w:rsidR="004C6866" w:rsidRDefault="004C6866" w:rsidP="004C6866">
            <w:pPr>
              <w:pStyle w:val="ListParagraph"/>
              <w:numPr>
                <w:ilvl w:val="0"/>
                <w:numId w:val="1"/>
              </w:numPr>
            </w:pPr>
            <w:r w:rsidRPr="00CD0354">
              <w:rPr>
                <w:b/>
                <w:sz w:val="20"/>
                <w:szCs w:val="20"/>
              </w:rPr>
              <w:t>Other sources can include</w:t>
            </w:r>
            <w:r w:rsidR="00E4082E">
              <w:rPr>
                <w:sz w:val="20"/>
                <w:szCs w:val="20"/>
              </w:rPr>
              <w:t>: Mouthwash, hand sanitizer, v</w:t>
            </w:r>
            <w:r w:rsidRPr="00CD0354">
              <w:rPr>
                <w:sz w:val="20"/>
                <w:szCs w:val="20"/>
              </w:rPr>
              <w:t>anilla extract, Chinese cooking wine, cough syrup, perfumes/ colognes/ aftershave, spray odour neutralizers, disinfectants</w:t>
            </w:r>
            <w:r w:rsidRPr="00CD0354">
              <w:rPr>
                <w:sz w:val="20"/>
                <w:szCs w:val="20"/>
                <w:vertAlign w:val="superscript"/>
              </w:rPr>
              <w:t>11</w:t>
            </w:r>
            <w:r w:rsidRPr="00CD0354">
              <w:rPr>
                <w:noProof/>
                <w:lang w:eastAsia="en-CA"/>
              </w:rPr>
              <w:t xml:space="preserve"> </w:t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Characteristics</w:t>
            </w: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(Depressant)</w:t>
            </w:r>
          </w:p>
        </w:tc>
        <w:tc>
          <w:tcPr>
            <w:tcW w:w="9438" w:type="dxa"/>
          </w:tcPr>
          <w:p w:rsidR="004C6866" w:rsidRPr="00BC7808" w:rsidRDefault="004C6866" w:rsidP="004C68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7808">
              <w:rPr>
                <w:rFonts w:cs="TradeGothic"/>
                <w:sz w:val="20"/>
                <w:szCs w:val="20"/>
              </w:rPr>
              <w:t>Alcohol alters the function of several receptors and cellular functions, including GABA</w:t>
            </w:r>
            <w:r w:rsidRPr="00BC7808">
              <w:rPr>
                <w:rFonts w:cs="TradeGothic"/>
                <w:sz w:val="20"/>
                <w:szCs w:val="20"/>
                <w:vertAlign w:val="subscript"/>
              </w:rPr>
              <w:t>A</w:t>
            </w:r>
            <w:r w:rsidRPr="00BC7808">
              <w:rPr>
                <w:rFonts w:cs="TradeGothic"/>
                <w:sz w:val="20"/>
                <w:szCs w:val="20"/>
              </w:rPr>
              <w:t xml:space="preserve"> receptors, Kir3/GIRK channels, adenosine reuptake, glycine receptor, NMDA receptor, and 5-HT</w:t>
            </w:r>
            <w:r w:rsidRPr="00BC7808">
              <w:rPr>
                <w:rFonts w:cs="TradeGothic"/>
                <w:sz w:val="20"/>
                <w:szCs w:val="20"/>
                <w:vertAlign w:val="subscript"/>
              </w:rPr>
              <w:t>3</w:t>
            </w:r>
            <w:r w:rsidRPr="00BC7808">
              <w:rPr>
                <w:rFonts w:cs="TradeGothic"/>
                <w:sz w:val="20"/>
                <w:szCs w:val="20"/>
                <w:vertAlign w:val="superscript"/>
              </w:rPr>
              <w:t>9</w:t>
            </w:r>
            <w:r w:rsidRPr="00BC7808">
              <w:rPr>
                <w:rFonts w:cs="TradeGothic"/>
                <w:sz w:val="20"/>
                <w:szCs w:val="20"/>
                <w:vertAlign w:val="subscript"/>
              </w:rPr>
              <w:t xml:space="preserve">        </w:t>
            </w:r>
          </w:p>
          <w:p w:rsidR="004C6866" w:rsidRPr="00A45E99" w:rsidRDefault="004C6866" w:rsidP="004C68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7808">
              <w:rPr>
                <w:rFonts w:cs="TradeGothic"/>
                <w:sz w:val="20"/>
                <w:szCs w:val="20"/>
              </w:rPr>
              <w:t>Effects of alcohol have a close relationship with blood alcohol levels; impaired judgment and</w:t>
            </w:r>
            <w:r w:rsidRPr="00A45E99">
              <w:rPr>
                <w:rFonts w:cs="TradeGothic"/>
                <w:sz w:val="20"/>
                <w:szCs w:val="20"/>
              </w:rPr>
              <w:t xml:space="preserve"> impulsivity can occur with levels of 4-6mmol/l (20-30mg/100ml); levels of 17mmol (80mg/100ml) are associated with slurred speech, incoordination, unsteady gait, and inattention. Higher levels can intensify cognitive deficits, aggressiveness, and cause blackouts</w:t>
            </w:r>
            <w:r w:rsidRPr="00A45E99">
              <w:rPr>
                <w:rFonts w:cs="TradeGothic"/>
                <w:sz w:val="20"/>
                <w:szCs w:val="20"/>
                <w:vertAlign w:val="superscript"/>
              </w:rPr>
              <w:t>7</w:t>
            </w:r>
          </w:p>
          <w:p w:rsidR="004C6866" w:rsidRPr="00A45E99" w:rsidRDefault="004C6866" w:rsidP="004C68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5E99">
              <w:rPr>
                <w:rFonts w:cs="TradeGothic"/>
                <w:sz w:val="20"/>
                <w:szCs w:val="20"/>
              </w:rPr>
              <w:t>Elimination is about 10g of alcohol per hour (about 30ml/one oz. of whiskey, or one bottle of beer)</w:t>
            </w:r>
            <w:r w:rsidRPr="00A45E99">
              <w:rPr>
                <w:rFonts w:cs="TradeGothic"/>
                <w:sz w:val="20"/>
                <w:szCs w:val="20"/>
                <w:vertAlign w:val="superscript"/>
              </w:rPr>
              <w:t xml:space="preserve"> 7</w:t>
            </w:r>
            <w:r w:rsidRPr="00A45E99">
              <w:rPr>
                <w:rFonts w:cs="TradeGothic"/>
                <w:sz w:val="20"/>
                <w:szCs w:val="20"/>
              </w:rPr>
              <w:t>. Blood alcohol level declines by 3-7mmol/l per hour (approximately 15mg/100ml)</w:t>
            </w:r>
            <w:r w:rsidRPr="00A45E99">
              <w:rPr>
                <w:rFonts w:cs="TradeGothic"/>
                <w:sz w:val="20"/>
                <w:szCs w:val="20"/>
                <w:vertAlign w:val="superscript"/>
              </w:rPr>
              <w:t>5</w:t>
            </w:r>
          </w:p>
          <w:p w:rsidR="004C6866" w:rsidRPr="00A45E99" w:rsidRDefault="004C6866" w:rsidP="004C68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5E99">
              <w:rPr>
                <w:rFonts w:cs="TradeGothic"/>
                <w:sz w:val="20"/>
                <w:szCs w:val="20"/>
              </w:rPr>
              <w:t xml:space="preserve">Men and Women metabolize alcohol at different rates. </w:t>
            </w:r>
            <w:r w:rsidRPr="00A45E99">
              <w:rPr>
                <w:rFonts w:cs="TradeGothic"/>
                <w:sz w:val="20"/>
                <w:szCs w:val="20"/>
                <w:vertAlign w:val="superscript"/>
              </w:rPr>
              <w:t>1</w:t>
            </w:r>
            <w:r w:rsidR="006250C8">
              <w:rPr>
                <w:rFonts w:cs="TradeGothic"/>
                <w:sz w:val="20"/>
                <w:szCs w:val="20"/>
                <w:vertAlign w:val="superscript"/>
              </w:rPr>
              <w:t>2</w:t>
            </w:r>
          </w:p>
          <w:p w:rsidR="004C6866" w:rsidRPr="00A45E99" w:rsidRDefault="004C6866" w:rsidP="004C68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5E99">
              <w:rPr>
                <w:rFonts w:cs="TradeGothic"/>
                <w:sz w:val="20"/>
                <w:szCs w:val="20"/>
              </w:rPr>
              <w:t>Alcohol metabolism is proportional to body weight (and liver weight)</w:t>
            </w:r>
            <w:r w:rsidRPr="00A45E99">
              <w:rPr>
                <w:rFonts w:cs="TradeGothic"/>
                <w:sz w:val="20"/>
                <w:szCs w:val="20"/>
                <w:vertAlign w:val="superscript"/>
              </w:rPr>
              <w:t>5</w:t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Presentation during intoxication</w:t>
            </w:r>
          </w:p>
        </w:tc>
        <w:tc>
          <w:tcPr>
            <w:tcW w:w="9438" w:type="dxa"/>
          </w:tcPr>
          <w:p w:rsidR="004C6866" w:rsidRDefault="004C6866" w:rsidP="004C6866">
            <w:pPr>
              <w:rPr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Common signs and symptoms of intoxication can include</w:t>
            </w:r>
            <w:r w:rsidRPr="00A45E99">
              <w:rPr>
                <w:b/>
                <w:sz w:val="20"/>
                <w:szCs w:val="20"/>
                <w:vertAlign w:val="superscript"/>
              </w:rPr>
              <w:t>4,5</w:t>
            </w:r>
            <w:r w:rsidRPr="00A45E99">
              <w:rPr>
                <w:sz w:val="20"/>
                <w:szCs w:val="20"/>
              </w:rPr>
              <w:t>:</w:t>
            </w:r>
          </w:p>
          <w:p w:rsidR="006C11C7" w:rsidRDefault="006C11C7" w:rsidP="004C686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8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3"/>
              <w:gridCol w:w="2173"/>
              <w:gridCol w:w="2640"/>
              <w:gridCol w:w="2006"/>
            </w:tblGrid>
            <w:tr w:rsidR="004C6866" w:rsidRPr="00A45E99" w:rsidTr="004C6866"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Relaxation</w:t>
                  </w:r>
                </w:p>
              </w:tc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Loss of inhibitions</w:t>
                  </w:r>
                </w:p>
              </w:tc>
              <w:tc>
                <w:tcPr>
                  <w:tcW w:w="2640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Slurred speech</w:t>
                  </w:r>
                </w:p>
              </w:tc>
              <w:tc>
                <w:tcPr>
                  <w:tcW w:w="2006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Staggering gait</w:t>
                  </w:r>
                </w:p>
              </w:tc>
            </w:tr>
            <w:tr w:rsidR="004C6866" w:rsidRPr="00A45E99" w:rsidTr="004C6866"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Drowsiness</w:t>
                  </w:r>
                </w:p>
              </w:tc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Slurred speech</w:t>
                  </w:r>
                </w:p>
              </w:tc>
              <w:tc>
                <w:tcPr>
                  <w:tcW w:w="2640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Flushed skin</w:t>
                  </w:r>
                </w:p>
              </w:tc>
              <w:tc>
                <w:tcPr>
                  <w:tcW w:w="2006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Lack of concentration</w:t>
                  </w:r>
                </w:p>
              </w:tc>
            </w:tr>
            <w:tr w:rsidR="004C6866" w:rsidRPr="00A45E99" w:rsidTr="00351217">
              <w:trPr>
                <w:trHeight w:val="362"/>
              </w:trPr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Impaired attention</w:t>
                  </w:r>
                </w:p>
              </w:tc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Slowed reflexes</w:t>
                  </w:r>
                </w:p>
              </w:tc>
              <w:tc>
                <w:tcPr>
                  <w:tcW w:w="2640" w:type="dxa"/>
                </w:tcPr>
                <w:p w:rsidR="004C6866" w:rsidRPr="00A45E99" w:rsidRDefault="004C6866" w:rsidP="0035121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Double or blurred vision</w:t>
                  </w:r>
                </w:p>
              </w:tc>
              <w:tc>
                <w:tcPr>
                  <w:tcW w:w="2006" w:type="dxa"/>
                </w:tcPr>
                <w:p w:rsidR="004C6866" w:rsidRPr="00A45E99" w:rsidRDefault="004C6866" w:rsidP="0035121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6866" w:rsidRDefault="004C6866" w:rsidP="004C6866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Extreme intoxication signs and symptoms may include</w:t>
            </w:r>
            <w:r w:rsidRPr="00A45E99">
              <w:rPr>
                <w:b/>
                <w:sz w:val="20"/>
                <w:szCs w:val="20"/>
                <w:vertAlign w:val="superscript"/>
              </w:rPr>
              <w:t>4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6C11C7" w:rsidRDefault="006C11C7" w:rsidP="004C6866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8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3"/>
              <w:gridCol w:w="2173"/>
              <w:gridCol w:w="2640"/>
              <w:gridCol w:w="2006"/>
            </w:tblGrid>
            <w:tr w:rsidR="004C6866" w:rsidRPr="00A45E99" w:rsidTr="00FF2B5A"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Inability to stand</w:t>
                  </w:r>
                </w:p>
              </w:tc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Vomiting</w:t>
                  </w:r>
                </w:p>
              </w:tc>
              <w:tc>
                <w:tcPr>
                  <w:tcW w:w="2640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Stupor</w:t>
                  </w:r>
                </w:p>
              </w:tc>
              <w:tc>
                <w:tcPr>
                  <w:tcW w:w="2006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Possible coma</w:t>
                  </w:r>
                </w:p>
              </w:tc>
            </w:tr>
            <w:tr w:rsidR="004C6866" w:rsidRPr="00A45E99" w:rsidTr="00FF2B5A"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Shallow respirations</w:t>
                  </w:r>
                </w:p>
              </w:tc>
              <w:tc>
                <w:tcPr>
                  <w:tcW w:w="2173" w:type="dxa"/>
                </w:tcPr>
                <w:p w:rsidR="004C6866" w:rsidRPr="00A45E99" w:rsidRDefault="004C6866" w:rsidP="00351217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Cold clammy skin</w:t>
                  </w:r>
                </w:p>
              </w:tc>
              <w:tc>
                <w:tcPr>
                  <w:tcW w:w="2640" w:type="dxa"/>
                </w:tcPr>
                <w:p w:rsidR="004C6866" w:rsidRPr="006C11C7" w:rsidRDefault="00696F5C" w:rsidP="006C1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Weak and/</w:t>
                  </w:r>
                  <w:r w:rsidR="004C6866" w:rsidRPr="00A45E99">
                    <w:rPr>
                      <w:sz w:val="20"/>
                      <w:szCs w:val="20"/>
                    </w:rPr>
                    <w:t>or rapid pulse</w:t>
                  </w:r>
                </w:p>
              </w:tc>
              <w:tc>
                <w:tcPr>
                  <w:tcW w:w="2006" w:type="dxa"/>
                </w:tcPr>
                <w:p w:rsidR="004C6866" w:rsidRPr="00A45E99" w:rsidRDefault="004C6866" w:rsidP="0035121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6866" w:rsidRPr="00A45E99" w:rsidRDefault="004C6866">
            <w:pPr>
              <w:rPr>
                <w:sz w:val="20"/>
                <w:szCs w:val="20"/>
              </w:rPr>
            </w:pP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CE7EB4" w:rsidRDefault="00CE7EB4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CE7EB4" w:rsidRDefault="00CE7EB4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Monitoring and support during intoxication</w:t>
            </w:r>
          </w:p>
        </w:tc>
        <w:tc>
          <w:tcPr>
            <w:tcW w:w="9438" w:type="dxa"/>
          </w:tcPr>
          <w:p w:rsidR="004C6866" w:rsidRPr="00A45E99" w:rsidRDefault="004C6866" w:rsidP="004C6866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Goal</w:t>
            </w:r>
            <w:r w:rsidRPr="00A45E99">
              <w:rPr>
                <w:b/>
                <w:sz w:val="20"/>
                <w:szCs w:val="20"/>
                <w:vertAlign w:val="superscript"/>
              </w:rPr>
              <w:t>1</w:t>
            </w:r>
            <w:r w:rsidR="006250C8">
              <w:rPr>
                <w:b/>
                <w:sz w:val="20"/>
                <w:szCs w:val="20"/>
                <w:vertAlign w:val="superscript"/>
              </w:rPr>
              <w:t>3</w:t>
            </w:r>
            <w:r w:rsidRPr="00A45E99">
              <w:rPr>
                <w:b/>
                <w:sz w:val="20"/>
                <w:szCs w:val="20"/>
                <w:vertAlign w:val="superscript"/>
              </w:rPr>
              <w:t>,1</w:t>
            </w:r>
            <w:r w:rsidR="006250C8">
              <w:rPr>
                <w:b/>
                <w:sz w:val="20"/>
                <w:szCs w:val="20"/>
                <w:vertAlign w:val="superscript"/>
              </w:rPr>
              <w:t>4</w:t>
            </w:r>
            <w:r w:rsidRPr="00A45E99">
              <w:rPr>
                <w:b/>
                <w:sz w:val="20"/>
                <w:szCs w:val="20"/>
              </w:rPr>
              <w:t xml:space="preserve">: </w:t>
            </w:r>
          </w:p>
          <w:p w:rsidR="004C6866" w:rsidRDefault="004C6866" w:rsidP="004C68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Prevent severe respiratory depression and  aspiration of vomitus</w:t>
            </w:r>
          </w:p>
          <w:p w:rsidR="006C11C7" w:rsidRDefault="006C11C7" w:rsidP="006C11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E7819" w:rsidRDefault="002E7819" w:rsidP="004C68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</w:t>
            </w:r>
            <w:r w:rsidRPr="00A45E99">
              <w:rPr>
                <w:b/>
                <w:sz w:val="20"/>
                <w:szCs w:val="20"/>
                <w:vertAlign w:val="superscript"/>
              </w:rPr>
              <w:t>9,10</w:t>
            </w:r>
            <w:r w:rsidR="006250C8">
              <w:rPr>
                <w:b/>
                <w:sz w:val="20"/>
                <w:szCs w:val="20"/>
                <w:vertAlign w:val="superscript"/>
              </w:rPr>
              <w:t>,15</w:t>
            </w:r>
          </w:p>
          <w:p w:rsidR="002E7819" w:rsidRDefault="002E7819" w:rsidP="002E78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level of disorientation and if possible time of last ingestion and amount consumed</w:t>
            </w:r>
          </w:p>
          <w:p w:rsidR="002E7819" w:rsidRDefault="002E7819" w:rsidP="002E78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falls risk</w:t>
            </w:r>
          </w:p>
          <w:p w:rsidR="002E7819" w:rsidRPr="00A45E99" w:rsidRDefault="002E7819" w:rsidP="002E78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 xml:space="preserve">Monitor vitals </w:t>
            </w:r>
            <w:r>
              <w:rPr>
                <w:sz w:val="20"/>
                <w:szCs w:val="20"/>
              </w:rPr>
              <w:t xml:space="preserve">every 15 minutes initially and less frequently as acute symptoms subside </w:t>
            </w:r>
          </w:p>
          <w:p w:rsidR="002E7819" w:rsidRPr="006C11C7" w:rsidRDefault="002E7819" w:rsidP="002E781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E7819">
              <w:rPr>
                <w:sz w:val="20"/>
                <w:szCs w:val="20"/>
              </w:rPr>
              <w:t>Monitor glucose levels due to risk for hypoglycemia and alcohol ketoacidosis</w:t>
            </w:r>
          </w:p>
          <w:p w:rsidR="006C11C7" w:rsidRPr="002E7819" w:rsidRDefault="006C11C7" w:rsidP="006C11C7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4C6866" w:rsidRPr="00A45E99" w:rsidRDefault="004C6866" w:rsidP="004C6866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Supportive Interventions</w:t>
            </w:r>
            <w:r w:rsidRPr="00A45E99">
              <w:rPr>
                <w:b/>
                <w:sz w:val="20"/>
                <w:szCs w:val="20"/>
                <w:vertAlign w:val="superscript"/>
              </w:rPr>
              <w:t>9,10</w:t>
            </w:r>
            <w:r w:rsidR="00351217">
              <w:rPr>
                <w:b/>
                <w:sz w:val="20"/>
                <w:szCs w:val="20"/>
                <w:vertAlign w:val="superscript"/>
              </w:rPr>
              <w:t>,1</w:t>
            </w:r>
            <w:r w:rsidR="006250C8">
              <w:rPr>
                <w:b/>
                <w:sz w:val="20"/>
                <w:szCs w:val="20"/>
                <w:vertAlign w:val="superscript"/>
              </w:rPr>
              <w:t>5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16299F" w:rsidRDefault="0016299F" w:rsidP="004C68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 quiet private space</w:t>
            </w:r>
          </w:p>
          <w:p w:rsidR="0016299F" w:rsidRDefault="0016299F" w:rsidP="004C68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Frequently orient client to reality and surroundings </w:t>
            </w:r>
          </w:p>
          <w:p w:rsidR="004C6866" w:rsidRPr="00A45E99" w:rsidRDefault="0016299F" w:rsidP="004C68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fluid and food intake as tolerated </w:t>
            </w:r>
          </w:p>
          <w:p w:rsidR="00CA0804" w:rsidRPr="002E7819" w:rsidRDefault="004C6866" w:rsidP="002E78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 xml:space="preserve">Thiamine / Vitamin B1 </w:t>
            </w:r>
            <w:r w:rsidR="0016299F">
              <w:rPr>
                <w:sz w:val="20"/>
                <w:szCs w:val="20"/>
              </w:rPr>
              <w:t xml:space="preserve">may be prescribed </w:t>
            </w:r>
            <w:r w:rsidRPr="00A45E99">
              <w:rPr>
                <w:sz w:val="20"/>
                <w:szCs w:val="20"/>
              </w:rPr>
              <w:t>to decrease the risk of Wernicke-</w:t>
            </w:r>
            <w:proofErr w:type="spellStart"/>
            <w:r w:rsidRPr="00A45E99">
              <w:rPr>
                <w:sz w:val="20"/>
                <w:szCs w:val="20"/>
              </w:rPr>
              <w:t>Korsakoff</w:t>
            </w:r>
            <w:proofErr w:type="spellEnd"/>
            <w:r w:rsidRPr="00A45E99">
              <w:rPr>
                <w:sz w:val="20"/>
                <w:szCs w:val="20"/>
              </w:rPr>
              <w:t xml:space="preserve"> syndrome </w:t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CE7EB4" w:rsidRDefault="00CE7EB4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CE7EB4" w:rsidRDefault="00CE7EB4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Withdrawal presentation</w:t>
            </w: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  <w:vertAlign w:val="superscript"/>
              </w:rPr>
            </w:pPr>
            <w:r w:rsidRPr="00CD0354">
              <w:rPr>
                <w:rFonts w:ascii="Trebuchet MS" w:hAnsi="Trebuchet MS"/>
                <w:bCs/>
                <w:color w:val="FFFFFF" w:themeColor="background1"/>
                <w:sz w:val="18"/>
                <w:szCs w:val="18"/>
              </w:rPr>
              <w:t>(appear</w:t>
            </w:r>
            <w:r w:rsidR="00FF0E99">
              <w:rPr>
                <w:rFonts w:ascii="Trebuchet MS" w:hAnsi="Trebuchet MS"/>
                <w:bCs/>
                <w:color w:val="FFFFFF" w:themeColor="background1"/>
                <w:sz w:val="18"/>
                <w:szCs w:val="18"/>
              </w:rPr>
              <w:t>s</w:t>
            </w:r>
            <w:r w:rsidRPr="00CD0354">
              <w:rPr>
                <w:rFonts w:ascii="Trebuchet MS" w:hAnsi="Trebuchet MS"/>
                <w:bCs/>
                <w:color w:val="FFFFFF" w:themeColor="background1"/>
                <w:sz w:val="18"/>
                <w:szCs w:val="18"/>
              </w:rPr>
              <w:t xml:space="preserve"> within 6-24 hours after stopping alcohol, are most severe after 36-72 hours and last for 2-10 days)</w:t>
            </w: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9438" w:type="dxa"/>
          </w:tcPr>
          <w:p w:rsidR="00CE7EB4" w:rsidRDefault="00CE7EB4" w:rsidP="00CE7EB4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Symptoms may include</w:t>
            </w:r>
            <w:r w:rsidRPr="00A45E99">
              <w:rPr>
                <w:b/>
                <w:sz w:val="20"/>
                <w:szCs w:val="20"/>
                <w:vertAlign w:val="superscript"/>
              </w:rPr>
              <w:t>1</w:t>
            </w:r>
            <w:r w:rsidR="009F5501">
              <w:rPr>
                <w:b/>
                <w:sz w:val="20"/>
                <w:szCs w:val="20"/>
                <w:vertAlign w:val="superscript"/>
              </w:rPr>
              <w:t>-</w:t>
            </w:r>
            <w:r w:rsidRPr="00A45E99">
              <w:rPr>
                <w:b/>
                <w:sz w:val="20"/>
                <w:szCs w:val="20"/>
                <w:vertAlign w:val="superscript"/>
              </w:rPr>
              <w:t>5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A45E99" w:rsidRPr="00A45E99" w:rsidRDefault="00A45E99" w:rsidP="00CE7EB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4"/>
              <w:gridCol w:w="2245"/>
            </w:tblGrid>
            <w:tr w:rsidR="00CE7EB4" w:rsidRPr="00A45E99" w:rsidTr="00CE7EB4"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Increased anxiety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Agitation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2245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Diarrhea</w:t>
                  </w:r>
                </w:p>
              </w:tc>
            </w:tr>
            <w:tr w:rsidR="00CE7EB4" w:rsidRPr="00A45E99" w:rsidTr="00CE7EB4"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Insomnia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Hallucinations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Tachycardia</w:t>
                  </w:r>
                </w:p>
              </w:tc>
              <w:tc>
                <w:tcPr>
                  <w:tcW w:w="2245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Seizures*</w:t>
                  </w:r>
                </w:p>
              </w:tc>
            </w:tr>
            <w:tr w:rsidR="00CE7EB4" w:rsidRPr="00A45E99" w:rsidTr="00CE7EB4"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Increased Irritability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Tremor and Psychomotor Agitation</w:t>
                  </w:r>
                </w:p>
              </w:tc>
              <w:tc>
                <w:tcPr>
                  <w:tcW w:w="2244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Nausea and Vomiting</w:t>
                  </w:r>
                </w:p>
              </w:tc>
              <w:tc>
                <w:tcPr>
                  <w:tcW w:w="2245" w:type="dxa"/>
                </w:tcPr>
                <w:p w:rsidR="00CE7EB4" w:rsidRPr="00A45E99" w:rsidRDefault="00CE7EB4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Delirium Tremens*</w:t>
                  </w:r>
                </w:p>
              </w:tc>
            </w:tr>
          </w:tbl>
          <w:p w:rsidR="00B5449E" w:rsidRDefault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Delirium Tremens (DTs) Characteristics</w:t>
            </w:r>
            <w:r w:rsidRPr="00A45E99">
              <w:rPr>
                <w:b/>
                <w:sz w:val="20"/>
                <w:szCs w:val="20"/>
                <w:vertAlign w:val="superscript"/>
              </w:rPr>
              <w:t xml:space="preserve">8 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CA0804" w:rsidRPr="00A45E99" w:rsidRDefault="00CA080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9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4"/>
              <w:gridCol w:w="2490"/>
            </w:tblGrid>
            <w:tr w:rsidR="00B5449E" w:rsidRPr="00A45E99" w:rsidTr="00A45E99">
              <w:tc>
                <w:tcPr>
                  <w:tcW w:w="2244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Gross Tremor</w:t>
                  </w:r>
                </w:p>
              </w:tc>
              <w:tc>
                <w:tcPr>
                  <w:tcW w:w="2244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Paranoid Ideation</w:t>
                  </w:r>
                </w:p>
              </w:tc>
              <w:tc>
                <w:tcPr>
                  <w:tcW w:w="2244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Hyperthermia</w:t>
                  </w:r>
                </w:p>
              </w:tc>
              <w:tc>
                <w:tcPr>
                  <w:tcW w:w="2490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Distractibility</w:t>
                  </w:r>
                </w:p>
              </w:tc>
            </w:tr>
            <w:tr w:rsidR="00B5449E" w:rsidRPr="00A45E99" w:rsidTr="00A45E99">
              <w:tc>
                <w:tcPr>
                  <w:tcW w:w="2244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Confusion/ Disorientation</w:t>
                  </w:r>
                </w:p>
              </w:tc>
              <w:tc>
                <w:tcPr>
                  <w:tcW w:w="2244" w:type="dxa"/>
                </w:tcPr>
                <w:p w:rsidR="00B5449E" w:rsidRPr="00A45E99" w:rsidRDefault="00A45E99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Hallucinations</w:t>
                  </w:r>
                </w:p>
              </w:tc>
              <w:tc>
                <w:tcPr>
                  <w:tcW w:w="2244" w:type="dxa"/>
                </w:tcPr>
                <w:p w:rsidR="00B5449E" w:rsidRPr="00A45E99" w:rsidRDefault="00B5449E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Extreme agitation or restlessness</w:t>
                  </w:r>
                </w:p>
              </w:tc>
              <w:tc>
                <w:tcPr>
                  <w:tcW w:w="2490" w:type="dxa"/>
                </w:tcPr>
                <w:p w:rsidR="00B5449E" w:rsidRPr="00A45E99" w:rsidRDefault="00A45E99" w:rsidP="00602550">
                  <w:p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Autonomic Instability (changes in HR/BP)</w:t>
                  </w:r>
                </w:p>
              </w:tc>
            </w:tr>
          </w:tbl>
          <w:p w:rsidR="00A45E99" w:rsidRDefault="00A45E99" w:rsidP="00A45E99">
            <w:pPr>
              <w:pStyle w:val="ListParagraph"/>
              <w:rPr>
                <w:sz w:val="20"/>
                <w:szCs w:val="20"/>
              </w:rPr>
            </w:pP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A medical emergency that can lead to cardiovascular collapse</w:t>
            </w:r>
          </w:p>
          <w:p w:rsidR="00CA0804" w:rsidRPr="006C11C7" w:rsidRDefault="00B5449E" w:rsidP="006C11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Autonomic hyperactivity may develop 48-96 hours after last drink</w:t>
            </w:r>
            <w:r w:rsidRPr="00A45E9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Monitoring and support during withdrawal</w:t>
            </w: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438" w:type="dxa"/>
          </w:tcPr>
          <w:p w:rsidR="00B5449E" w:rsidRPr="00A45E99" w:rsidRDefault="00B5449E" w:rsidP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Goal</w:t>
            </w:r>
            <w:r w:rsidRPr="00C7492A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EE69AF" w:rsidRDefault="00EE69AF" w:rsidP="00B544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term:</w:t>
            </w:r>
          </w:p>
          <w:p w:rsidR="00B5449E" w:rsidRDefault="00B5449E" w:rsidP="0060255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Preserve respiratory and cardiovascular function</w:t>
            </w:r>
          </w:p>
          <w:p w:rsidR="002E7819" w:rsidRPr="00602550" w:rsidRDefault="002E7819" w:rsidP="00602550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risk of DTs</w:t>
            </w:r>
          </w:p>
          <w:p w:rsidR="00EE69AF" w:rsidRDefault="00EE69AF" w:rsidP="00EE69A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</w:t>
            </w:r>
            <w:r w:rsidRPr="00EE69AF">
              <w:rPr>
                <w:sz w:val="20"/>
                <w:szCs w:val="20"/>
                <w:vertAlign w:val="superscript"/>
              </w:rPr>
              <w:t>1</w:t>
            </w:r>
            <w:r w:rsidR="006250C8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:</w:t>
            </w:r>
          </w:p>
          <w:p w:rsidR="00EE69AF" w:rsidRPr="00A45E99" w:rsidRDefault="00EE69AF" w:rsidP="00EE69AF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will not experience injury</w:t>
            </w:r>
          </w:p>
          <w:p w:rsidR="00B5449E" w:rsidRPr="00A45E99" w:rsidRDefault="00B5449E" w:rsidP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Assessing for Withdrawal Severity</w:t>
            </w:r>
            <w:r w:rsidRPr="00C7492A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Clinical Institute Withdrawal Assessment of Alcohol Scale, Revised (CIWA-</w:t>
            </w:r>
            <w:proofErr w:type="spellStart"/>
            <w:r w:rsidRPr="00A45E99">
              <w:rPr>
                <w:sz w:val="20"/>
                <w:szCs w:val="20"/>
              </w:rPr>
              <w:t>Ar</w:t>
            </w:r>
            <w:proofErr w:type="spellEnd"/>
            <w:r w:rsidRPr="00A45E99">
              <w:rPr>
                <w:sz w:val="20"/>
                <w:szCs w:val="20"/>
              </w:rPr>
              <w:t>)</w:t>
            </w:r>
          </w:p>
          <w:p w:rsidR="00B5449E" w:rsidRDefault="00B5449E" w:rsidP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Monitor</w:t>
            </w:r>
            <w:r w:rsidRPr="00C7492A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E74E8F" w:rsidRPr="00E74E8F" w:rsidRDefault="00E74E8F" w:rsidP="00E74E8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Status (include risk of self-harm</w:t>
            </w:r>
            <w:r w:rsidR="003D32A2">
              <w:rPr>
                <w:sz w:val="20"/>
                <w:szCs w:val="20"/>
              </w:rPr>
              <w:t xml:space="preserve"> and suicide</w:t>
            </w:r>
            <w:r>
              <w:rPr>
                <w:sz w:val="20"/>
                <w:szCs w:val="20"/>
              </w:rPr>
              <w:t>, presence of hallucinations including tactile, agitation, anxiety)</w:t>
            </w:r>
          </w:p>
          <w:p w:rsidR="00E74E8F" w:rsidRPr="00E74E8F" w:rsidRDefault="00E74E8F" w:rsidP="00E74E8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status (including perspiration, headaches, vital signs, electrolytes)</w:t>
            </w:r>
          </w:p>
          <w:p w:rsidR="00E74E8F" w:rsidRPr="00E74E8F" w:rsidRDefault="00E74E8F" w:rsidP="00E74E8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Risk for falls</w:t>
            </w:r>
          </w:p>
          <w:p w:rsidR="00E74E8F" w:rsidRPr="00E74E8F" w:rsidRDefault="00E74E8F" w:rsidP="00E74E8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Hydration/Nutrition</w:t>
            </w:r>
          </w:p>
          <w:p w:rsidR="00E74E8F" w:rsidRPr="00E74E8F" w:rsidRDefault="00E74E8F" w:rsidP="00E74E8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Sleep patterns</w:t>
            </w:r>
          </w:p>
          <w:p w:rsidR="00B5449E" w:rsidRPr="00A45E99" w:rsidRDefault="00B5449E" w:rsidP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Supportive interventions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 xml:space="preserve">Encourage fluids and nutrition </w:t>
            </w:r>
            <w:r w:rsidR="002E7819">
              <w:rPr>
                <w:sz w:val="20"/>
                <w:szCs w:val="20"/>
              </w:rPr>
              <w:t>as</w:t>
            </w:r>
            <w:r w:rsidRPr="00A45E99">
              <w:rPr>
                <w:sz w:val="20"/>
                <w:szCs w:val="20"/>
              </w:rPr>
              <w:t xml:space="preserve"> tolerated</w:t>
            </w:r>
          </w:p>
          <w:p w:rsidR="00B5449E" w:rsidRDefault="00B5449E" w:rsidP="00B544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Provide a calm and quiet environment</w:t>
            </w:r>
          </w:p>
          <w:p w:rsidR="00E74E8F" w:rsidRPr="00A45E99" w:rsidRDefault="00E74E8F" w:rsidP="00B544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 medications to treat acute symptoms of withdrawal and reduce the risk of DTs </w:t>
            </w:r>
          </w:p>
          <w:p w:rsidR="00B5449E" w:rsidRPr="00A45E99" w:rsidRDefault="00B5449E" w:rsidP="00B5449E">
            <w:pPr>
              <w:rPr>
                <w:b/>
                <w:sz w:val="20"/>
                <w:szCs w:val="20"/>
              </w:rPr>
            </w:pPr>
            <w:r w:rsidRPr="00A45E99">
              <w:rPr>
                <w:b/>
                <w:sz w:val="20"/>
                <w:szCs w:val="20"/>
              </w:rPr>
              <w:t>Medications</w:t>
            </w:r>
            <w:r w:rsidR="00E74E8F">
              <w:rPr>
                <w:b/>
                <w:sz w:val="20"/>
                <w:szCs w:val="20"/>
              </w:rPr>
              <w:t xml:space="preserve"> Suggested Include</w:t>
            </w:r>
            <w:r w:rsidRPr="00C7492A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b/>
                <w:sz w:val="20"/>
                <w:szCs w:val="20"/>
              </w:rPr>
              <w:t>:</w:t>
            </w:r>
          </w:p>
          <w:p w:rsidR="00B5449E" w:rsidRPr="00535CF0" w:rsidRDefault="00E74E8F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Benzodiazepines</w:t>
            </w:r>
            <w:r w:rsidR="00B5449E" w:rsidRPr="00A45E99">
              <w:rPr>
                <w:sz w:val="20"/>
                <w:szCs w:val="20"/>
              </w:rPr>
              <w:t xml:space="preserve">(i.e. diazepam, lorazepam, </w:t>
            </w:r>
            <w:proofErr w:type="spellStart"/>
            <w:r w:rsidR="00B5449E" w:rsidRPr="00A45E99">
              <w:rPr>
                <w:sz w:val="20"/>
                <w:szCs w:val="20"/>
              </w:rPr>
              <w:t>chlordiazepoxide</w:t>
            </w:r>
            <w:proofErr w:type="spellEnd"/>
            <w:r w:rsidR="00B5449E" w:rsidRPr="00A45E99">
              <w:rPr>
                <w:sz w:val="20"/>
                <w:szCs w:val="20"/>
              </w:rPr>
              <w:t xml:space="preserve">) </w:t>
            </w:r>
            <w:r w:rsidR="00B5449E" w:rsidRPr="00A45E99">
              <w:rPr>
                <w:sz w:val="20"/>
                <w:szCs w:val="20"/>
              </w:rPr>
              <w:sym w:font="Wingdings" w:char="F0E0"/>
            </w:r>
            <w:r w:rsidR="00B5449E" w:rsidRPr="00A45E99">
              <w:rPr>
                <w:sz w:val="20"/>
                <w:szCs w:val="20"/>
              </w:rPr>
              <w:t xml:space="preserve"> taper dose down as CIWA-</w:t>
            </w:r>
            <w:proofErr w:type="spellStart"/>
            <w:r w:rsidR="00B5449E" w:rsidRPr="00A45E99">
              <w:rPr>
                <w:sz w:val="20"/>
                <w:szCs w:val="20"/>
              </w:rPr>
              <w:t>Ar</w:t>
            </w:r>
            <w:proofErr w:type="spellEnd"/>
            <w:r w:rsidR="00B5449E" w:rsidRPr="00A45E99">
              <w:rPr>
                <w:sz w:val="20"/>
                <w:szCs w:val="20"/>
              </w:rPr>
              <w:t xml:space="preserve"> score lowers</w:t>
            </w:r>
            <w:r w:rsidR="00B5449E" w:rsidRPr="00A45E99">
              <w:rPr>
                <w:sz w:val="20"/>
                <w:szCs w:val="20"/>
                <w:vertAlign w:val="superscript"/>
              </w:rPr>
              <w:t>1,2</w:t>
            </w:r>
          </w:p>
          <w:p w:rsidR="00535CF0" w:rsidRPr="00A45E99" w:rsidRDefault="00535CF0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individuals with liver disease, accumulation of longer-acting benzodiazepines (i.e. </w:t>
            </w:r>
            <w:proofErr w:type="spellStart"/>
            <w:r>
              <w:rPr>
                <w:sz w:val="20"/>
                <w:szCs w:val="20"/>
              </w:rPr>
              <w:t>chlordiazepoxide</w:t>
            </w:r>
            <w:proofErr w:type="spellEnd"/>
            <w:r>
              <w:rPr>
                <w:sz w:val="20"/>
                <w:szCs w:val="20"/>
              </w:rPr>
              <w:t xml:space="preserve">/Librium) may be problematic – </w:t>
            </w:r>
            <w:r w:rsidR="002E7819">
              <w:rPr>
                <w:sz w:val="20"/>
                <w:szCs w:val="20"/>
              </w:rPr>
              <w:t>therefore</w:t>
            </w:r>
            <w:r>
              <w:rPr>
                <w:sz w:val="20"/>
                <w:szCs w:val="20"/>
              </w:rPr>
              <w:t xml:space="preserve"> use of more shorter-acting benzodiazepines is recommended</w:t>
            </w:r>
            <w:r w:rsidR="006250C8">
              <w:rPr>
                <w:sz w:val="20"/>
                <w:szCs w:val="20"/>
                <w:vertAlign w:val="superscript"/>
              </w:rPr>
              <w:t>15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Thiamine / Vitamin B1 to decrease the risk of Wernicke-</w:t>
            </w:r>
            <w:proofErr w:type="spellStart"/>
            <w:r w:rsidRPr="00A45E99">
              <w:rPr>
                <w:sz w:val="20"/>
                <w:szCs w:val="20"/>
              </w:rPr>
              <w:t>Korsakoff</w:t>
            </w:r>
            <w:proofErr w:type="spellEnd"/>
            <w:r w:rsidRPr="00A45E99">
              <w:rPr>
                <w:sz w:val="20"/>
                <w:szCs w:val="20"/>
              </w:rPr>
              <w:t xml:space="preserve"> syndrome</w:t>
            </w:r>
            <w:r w:rsidRPr="00A45E99">
              <w:rPr>
                <w:sz w:val="20"/>
                <w:szCs w:val="20"/>
                <w:vertAlign w:val="superscript"/>
              </w:rPr>
              <w:t>1,3</w:t>
            </w:r>
          </w:p>
          <w:p w:rsidR="004C6866" w:rsidRPr="00A45E99" w:rsidRDefault="00B5449E" w:rsidP="008A14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 xml:space="preserve">In cases of severe dehydration IV fluids </w:t>
            </w:r>
            <w:r w:rsidR="00F41330">
              <w:rPr>
                <w:sz w:val="20"/>
                <w:szCs w:val="20"/>
              </w:rPr>
              <w:t>with potassium and magnesium have</w:t>
            </w:r>
            <w:r w:rsidRPr="00A45E99">
              <w:rPr>
                <w:sz w:val="20"/>
                <w:szCs w:val="20"/>
              </w:rPr>
              <w:t xml:space="preserve"> been provided</w:t>
            </w:r>
            <w:r w:rsidRPr="00A45E99">
              <w:rPr>
                <w:sz w:val="20"/>
                <w:szCs w:val="20"/>
                <w:vertAlign w:val="superscript"/>
              </w:rPr>
              <w:t>4</w:t>
            </w:r>
            <w:r w:rsidRPr="00A45E99">
              <w:rPr>
                <w:sz w:val="20"/>
                <w:szCs w:val="20"/>
              </w:rPr>
              <w:tab/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2D1DB3" w:rsidRDefault="002D1DB3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2D1DB3" w:rsidRDefault="002D1DB3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2D1DB3" w:rsidRDefault="002D1DB3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 w:rsidRPr="00CD0354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Potential Complications</w:t>
            </w:r>
          </w:p>
        </w:tc>
        <w:tc>
          <w:tcPr>
            <w:tcW w:w="9438" w:type="dxa"/>
          </w:tcPr>
          <w:p w:rsidR="00B5449E" w:rsidRPr="0064519B" w:rsidRDefault="00B5449E" w:rsidP="00B5449E">
            <w:pPr>
              <w:rPr>
                <w:b/>
                <w:sz w:val="20"/>
                <w:szCs w:val="20"/>
              </w:rPr>
            </w:pPr>
            <w:r w:rsidRPr="0064519B">
              <w:rPr>
                <w:b/>
                <w:sz w:val="20"/>
                <w:szCs w:val="20"/>
              </w:rPr>
              <w:t>May include: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A45E99">
              <w:rPr>
                <w:b/>
                <w:bCs/>
                <w:sz w:val="20"/>
                <w:szCs w:val="20"/>
              </w:rPr>
              <w:t>Korsakoff</w:t>
            </w:r>
            <w:proofErr w:type="spellEnd"/>
            <w:r w:rsidRPr="00A45E99">
              <w:rPr>
                <w:b/>
                <w:bCs/>
                <w:sz w:val="20"/>
                <w:szCs w:val="20"/>
              </w:rPr>
              <w:t xml:space="preserve"> Syndrome/Wernicke Encephalopathy</w:t>
            </w:r>
            <w:r w:rsidRPr="00A45E99">
              <w:rPr>
                <w:sz w:val="20"/>
                <w:szCs w:val="20"/>
              </w:rPr>
              <w:t xml:space="preserve"> (lack of thiamine/vitamin B1 as a result of alcohol use)</w:t>
            </w:r>
            <w:r w:rsidRPr="00A45E99">
              <w:rPr>
                <w:sz w:val="20"/>
                <w:szCs w:val="20"/>
                <w:vertAlign w:val="superscript"/>
              </w:rPr>
              <w:t xml:space="preserve"> 1,3</w:t>
            </w:r>
          </w:p>
          <w:p w:rsidR="00B5449E" w:rsidRPr="00A45E99" w:rsidRDefault="00B5449E" w:rsidP="00B5449E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Wernicke encephalopathy: confusion, loss of muscle coordination</w:t>
            </w:r>
          </w:p>
          <w:p w:rsidR="00B5449E" w:rsidRPr="00A45E99" w:rsidRDefault="00B5449E" w:rsidP="00B5449E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A45E99">
              <w:rPr>
                <w:sz w:val="20"/>
                <w:szCs w:val="20"/>
              </w:rPr>
              <w:t>Korsakoff</w:t>
            </w:r>
            <w:proofErr w:type="spellEnd"/>
            <w:r w:rsidRPr="00A45E99">
              <w:rPr>
                <w:sz w:val="20"/>
                <w:szCs w:val="20"/>
              </w:rPr>
              <w:t xml:space="preserve"> syndrome: memory loss, confabulation, hallucinations 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b/>
                <w:bCs/>
                <w:sz w:val="20"/>
                <w:szCs w:val="20"/>
              </w:rPr>
              <w:t>Hallucinations</w:t>
            </w:r>
            <w:r w:rsidRPr="00A45E99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sz w:val="20"/>
                <w:szCs w:val="20"/>
              </w:rPr>
              <w:t xml:space="preserve"> </w:t>
            </w:r>
          </w:p>
          <w:p w:rsidR="00B5449E" w:rsidRPr="00A45E99" w:rsidRDefault="00B5449E" w:rsidP="00B5449E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 xml:space="preserve">Visual/auditory/tactile </w:t>
            </w:r>
            <w:r w:rsidRPr="00A45E99">
              <w:rPr>
                <w:sz w:val="20"/>
                <w:szCs w:val="20"/>
              </w:rPr>
              <w:sym w:font="Wingdings" w:char="F0E0"/>
            </w:r>
            <w:r w:rsidRPr="00A45E99">
              <w:rPr>
                <w:sz w:val="20"/>
                <w:szCs w:val="20"/>
              </w:rPr>
              <w:t xml:space="preserve"> 12-48 hours after last drink</w:t>
            </w:r>
            <w:r w:rsidRPr="00A45E99">
              <w:rPr>
                <w:sz w:val="20"/>
                <w:szCs w:val="20"/>
                <w:vertAlign w:val="superscript"/>
              </w:rPr>
              <w:t>2</w:t>
            </w:r>
            <w:r w:rsidRPr="00A45E99">
              <w:rPr>
                <w:sz w:val="20"/>
                <w:szCs w:val="20"/>
              </w:rPr>
              <w:t xml:space="preserve"> </w:t>
            </w:r>
          </w:p>
          <w:p w:rsidR="00B5449E" w:rsidRPr="00A45E99" w:rsidRDefault="00B5449E" w:rsidP="00B544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b/>
                <w:bCs/>
                <w:sz w:val="20"/>
                <w:szCs w:val="20"/>
              </w:rPr>
              <w:t>Seizures</w:t>
            </w:r>
            <w:r w:rsidRPr="00A45E99">
              <w:rPr>
                <w:sz w:val="20"/>
                <w:szCs w:val="20"/>
                <w:vertAlign w:val="superscript"/>
              </w:rPr>
              <w:t>1,2</w:t>
            </w:r>
            <w:r w:rsidRPr="00A45E99">
              <w:rPr>
                <w:sz w:val="20"/>
                <w:szCs w:val="20"/>
              </w:rPr>
              <w:t xml:space="preserve"> </w:t>
            </w:r>
          </w:p>
          <w:p w:rsidR="00B5449E" w:rsidRPr="00A45E99" w:rsidRDefault="00B5449E" w:rsidP="00B5449E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A45E99">
              <w:rPr>
                <w:sz w:val="20"/>
                <w:szCs w:val="20"/>
              </w:rPr>
              <w:t>Can occur 6-36 hours after last drink</w:t>
            </w:r>
            <w:r w:rsidRPr="00A45E99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4C6866" w:rsidRPr="002D1DB3" w:rsidRDefault="00B5449E" w:rsidP="002D1D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1DB3">
              <w:rPr>
                <w:b/>
                <w:bCs/>
                <w:sz w:val="20"/>
                <w:szCs w:val="20"/>
              </w:rPr>
              <w:t>Delirium Tremens</w:t>
            </w:r>
            <w:r w:rsidRPr="002D1DB3">
              <w:rPr>
                <w:sz w:val="20"/>
                <w:szCs w:val="20"/>
              </w:rPr>
              <w:t xml:space="preserve"> </w:t>
            </w:r>
            <w:r w:rsidRPr="002D1DB3">
              <w:rPr>
                <w:b/>
                <w:bCs/>
                <w:sz w:val="20"/>
                <w:szCs w:val="20"/>
              </w:rPr>
              <w:t>(DTs)</w:t>
            </w:r>
            <w:r w:rsidRPr="002D1DB3">
              <w:rPr>
                <w:sz w:val="20"/>
                <w:szCs w:val="20"/>
                <w:vertAlign w:val="superscript"/>
              </w:rPr>
              <w:t xml:space="preserve"> 1,2 (see above)</w:t>
            </w: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D93930" w:rsidRDefault="00D93930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>Notable</w:t>
            </w:r>
            <w:r w:rsidR="007B69A1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 xml:space="preserve"> Drug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 xml:space="preserve"> Interactions</w:t>
            </w:r>
            <w:r w:rsidR="00C20983" w:rsidRPr="00C20983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  <w:vertAlign w:val="superscript"/>
              </w:rPr>
              <w:t>7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</w:p>
          <w:p w:rsidR="004C6866" w:rsidRPr="00CD0354" w:rsidRDefault="004C6866" w:rsidP="00FF2B5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438" w:type="dxa"/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603"/>
              <w:gridCol w:w="4604"/>
            </w:tblGrid>
            <w:tr w:rsidR="002D1DB3" w:rsidTr="00D042FD">
              <w:tc>
                <w:tcPr>
                  <w:tcW w:w="4603" w:type="dxa"/>
                </w:tcPr>
                <w:p w:rsidR="002D1DB3" w:rsidRDefault="0064519B" w:rsidP="002D1DB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With </w:t>
                  </w:r>
                  <w:r w:rsidR="002D1DB3" w:rsidRPr="00C20983">
                    <w:rPr>
                      <w:b/>
                      <w:sz w:val="20"/>
                      <w:szCs w:val="20"/>
                    </w:rPr>
                    <w:t>Antidepressants</w:t>
                  </w:r>
                  <w:r w:rsidR="00F41330" w:rsidRPr="00F41330">
                    <w:rPr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  <w:tc>
                <w:tcPr>
                  <w:tcW w:w="4604" w:type="dxa"/>
                </w:tcPr>
                <w:p w:rsidR="002D1DB3" w:rsidRDefault="002D1DB3" w:rsidP="00FF2B5A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C20983">
                    <w:rPr>
                      <w:b/>
                      <w:sz w:val="20"/>
                      <w:szCs w:val="20"/>
                    </w:rPr>
                    <w:t xml:space="preserve">With Opioids </w:t>
                  </w:r>
                  <w:r w:rsidRPr="00C20983">
                    <w:rPr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</w:tr>
            <w:tr w:rsidR="002D1DB3" w:rsidTr="00D042FD">
              <w:trPr>
                <w:trHeight w:val="1902"/>
              </w:trPr>
              <w:tc>
                <w:tcPr>
                  <w:tcW w:w="4603" w:type="dxa"/>
                </w:tcPr>
                <w:p w:rsidR="002D1DB3" w:rsidRPr="002D1DB3" w:rsidRDefault="002D1DB3" w:rsidP="002F64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2D1DB3">
                    <w:rPr>
                      <w:sz w:val="20"/>
                      <w:szCs w:val="20"/>
                    </w:rPr>
                    <w:t>Alcohol may exacerbate the CNS effects (</w:t>
                  </w:r>
                  <w:proofErr w:type="spellStart"/>
                  <w:r w:rsidRPr="002D1DB3">
                    <w:rPr>
                      <w:sz w:val="20"/>
                      <w:szCs w:val="20"/>
                    </w:rPr>
                    <w:t>i.e</w:t>
                  </w:r>
                  <w:proofErr w:type="spellEnd"/>
                  <w:r w:rsidRPr="002D1DB3">
                    <w:rPr>
                      <w:sz w:val="20"/>
                      <w:szCs w:val="20"/>
                    </w:rPr>
                    <w:t xml:space="preserve"> drowsiness, confusion, gait disturbance, dizziness, and impaired motor coordination)  of tricyclic antidepressants, and cause impairment in psychomotor performance</w:t>
                  </w:r>
                </w:p>
                <w:p w:rsidR="002D1DB3" w:rsidRPr="002D1DB3" w:rsidRDefault="002D1DB3" w:rsidP="002F64E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2D1DB3">
                    <w:rPr>
                      <w:sz w:val="20"/>
                      <w:szCs w:val="20"/>
                    </w:rPr>
                    <w:t>Alcohol may disrupt antidepressant metabolism</w:t>
                  </w:r>
                </w:p>
                <w:p w:rsidR="002D1DB3" w:rsidRPr="002D1DB3" w:rsidRDefault="002D1DB3" w:rsidP="002D1DB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0"/>
                    </w:rPr>
                  </w:pPr>
                  <w:r w:rsidRPr="002D1DB3">
                    <w:rPr>
                      <w:sz w:val="20"/>
                      <w:szCs w:val="20"/>
                    </w:rPr>
                    <w:t xml:space="preserve">Alcohol and MAOIs increase the risk of a hypertensive crisis due to tyramine content. </w:t>
                  </w:r>
                </w:p>
              </w:tc>
              <w:tc>
                <w:tcPr>
                  <w:tcW w:w="4604" w:type="dxa"/>
                </w:tcPr>
                <w:p w:rsidR="002D1DB3" w:rsidRPr="002D1DB3" w:rsidRDefault="0072735D" w:rsidP="00FF2B5A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2D1DB3" w:rsidRPr="002D1DB3">
                    <w:rPr>
                      <w:sz w:val="20"/>
                      <w:szCs w:val="20"/>
                    </w:rPr>
                    <w:t xml:space="preserve">dditional CNS effects </w:t>
                  </w:r>
                </w:p>
                <w:p w:rsidR="002D1DB3" w:rsidRPr="002D1DB3" w:rsidRDefault="0072735D" w:rsidP="00FF2B5A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2D1DB3" w:rsidRPr="002D1DB3">
                    <w:rPr>
                      <w:sz w:val="20"/>
                      <w:szCs w:val="20"/>
                    </w:rPr>
                    <w:t>aution with excessive doses to risk of respiratory depression</w:t>
                  </w:r>
                </w:p>
                <w:p w:rsidR="002D1DB3" w:rsidRPr="002D1DB3" w:rsidRDefault="00F41330" w:rsidP="00FF2B5A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2D1DB3" w:rsidRPr="002D1DB3">
                    <w:rPr>
                      <w:sz w:val="20"/>
                      <w:szCs w:val="20"/>
                    </w:rPr>
                    <w:t>peeds the release of some opioids into the bloodstream by dissolving the slow-release system</w:t>
                  </w:r>
                </w:p>
              </w:tc>
            </w:tr>
            <w:tr w:rsidR="002D1DB3" w:rsidTr="00D042FD">
              <w:trPr>
                <w:trHeight w:val="66"/>
              </w:trPr>
              <w:tc>
                <w:tcPr>
                  <w:tcW w:w="4603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87"/>
                  </w:tblGrid>
                  <w:tr w:rsidR="00D042FD" w:rsidTr="0070740E">
                    <w:tc>
                      <w:tcPr>
                        <w:tcW w:w="4604" w:type="dxa"/>
                      </w:tcPr>
                      <w:p w:rsidR="00D042FD" w:rsidRDefault="0064519B" w:rsidP="006451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With </w:t>
                        </w:r>
                        <w:r w:rsidR="00D042FD" w:rsidRPr="00C20983">
                          <w:rPr>
                            <w:b/>
                            <w:sz w:val="20"/>
                            <w:szCs w:val="20"/>
                          </w:rPr>
                          <w:t>Antipsychotics</w:t>
                        </w:r>
                        <w:r w:rsidR="00D042FD" w:rsidRPr="00F4133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</w:p>
                    </w:tc>
                  </w:tr>
                  <w:tr w:rsidR="00D042FD" w:rsidTr="0070740E">
                    <w:tc>
                      <w:tcPr>
                        <w:tcW w:w="4604" w:type="dxa"/>
                      </w:tcPr>
                      <w:p w:rsidR="00D042FD" w:rsidRDefault="00D042FD" w:rsidP="0070740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20983">
                          <w:rPr>
                            <w:sz w:val="20"/>
                            <w:szCs w:val="20"/>
                          </w:rPr>
                          <w:t>Alcohol may increase CNS effects of the antipsychotics used an</w:t>
                        </w:r>
                        <w:r w:rsidR="0072735D">
                          <w:rPr>
                            <w:sz w:val="20"/>
                            <w:szCs w:val="20"/>
                          </w:rPr>
                          <w:t>d worsen extrapyramidal effects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2D1DB3" w:rsidRDefault="002D1DB3" w:rsidP="00FF2B5A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4" w:type="dxa"/>
                </w:tcPr>
                <w:p w:rsidR="002D1DB3" w:rsidRDefault="002D1DB3" w:rsidP="00FF2B5A">
                  <w:pPr>
                    <w:pStyle w:val="NoSpacing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C20983">
                    <w:rPr>
                      <w:b/>
                      <w:sz w:val="20"/>
                      <w:szCs w:val="20"/>
                    </w:rPr>
                    <w:t xml:space="preserve">With Cannabis </w:t>
                  </w:r>
                  <w:r w:rsidRPr="00C20983">
                    <w:rPr>
                      <w:b/>
                      <w:sz w:val="20"/>
                      <w:szCs w:val="20"/>
                      <w:vertAlign w:val="superscript"/>
                    </w:rPr>
                    <w:t>10</w:t>
                  </w:r>
                </w:p>
                <w:p w:rsidR="00D042FD" w:rsidRDefault="00D042FD" w:rsidP="00D042FD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D042FD">
                    <w:rPr>
                      <w:sz w:val="20"/>
                      <w:szCs w:val="20"/>
                    </w:rPr>
                    <w:t xml:space="preserve">Increased impairment of judgement </w:t>
                  </w:r>
                </w:p>
                <w:p w:rsidR="00D042FD" w:rsidRPr="00D042FD" w:rsidRDefault="00D042FD" w:rsidP="00D042FD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Additive effects </w:t>
                  </w:r>
                </w:p>
              </w:tc>
            </w:tr>
            <w:tr w:rsidR="002D1DB3" w:rsidTr="00D042FD">
              <w:tc>
                <w:tcPr>
                  <w:tcW w:w="4603" w:type="dxa"/>
                </w:tcPr>
                <w:p w:rsidR="002D1DB3" w:rsidRDefault="0064519B" w:rsidP="002D1DB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With </w:t>
                  </w:r>
                  <w:r w:rsidR="002D1DB3" w:rsidRPr="00C20983">
                    <w:rPr>
                      <w:b/>
                      <w:sz w:val="20"/>
                      <w:szCs w:val="20"/>
                    </w:rPr>
                    <w:t>Benzodiazepines</w:t>
                  </w:r>
                  <w:r w:rsidR="00F41330" w:rsidRPr="00F41330">
                    <w:rPr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  <w:tc>
                <w:tcPr>
                  <w:tcW w:w="4604" w:type="dxa"/>
                </w:tcPr>
                <w:p w:rsidR="002D1DB3" w:rsidRDefault="00D042FD" w:rsidP="00FF2B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With </w:t>
                  </w:r>
                  <w:r w:rsidRPr="002D1DB3">
                    <w:rPr>
                      <w:b/>
                      <w:sz w:val="20"/>
                      <w:szCs w:val="20"/>
                    </w:rPr>
                    <w:t>Stimulants</w:t>
                  </w:r>
                </w:p>
              </w:tc>
            </w:tr>
            <w:tr w:rsidR="002D1DB3" w:rsidTr="00D042FD">
              <w:tc>
                <w:tcPr>
                  <w:tcW w:w="4603" w:type="dxa"/>
                </w:tcPr>
                <w:p w:rsidR="002D1DB3" w:rsidRPr="002D1DB3" w:rsidRDefault="002D1DB3" w:rsidP="00C2098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C20983">
                    <w:rPr>
                      <w:sz w:val="20"/>
                      <w:szCs w:val="20"/>
                    </w:rPr>
                    <w:t xml:space="preserve">CNS effects of benzodiazepines will be potentiated </w:t>
                  </w:r>
                  <w:r w:rsidRPr="00C20983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20983">
                    <w:rPr>
                      <w:sz w:val="20"/>
                      <w:szCs w:val="20"/>
                    </w:rPr>
                    <w:t>Increased risk of respiratory depression</w:t>
                  </w:r>
                </w:p>
              </w:tc>
              <w:tc>
                <w:tcPr>
                  <w:tcW w:w="4604" w:type="dxa"/>
                </w:tcPr>
                <w:p w:rsidR="00D042FD" w:rsidRPr="00A45E99" w:rsidRDefault="00D042FD" w:rsidP="00D042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Additive effects of stimulant</w:t>
                  </w:r>
                </w:p>
                <w:p w:rsidR="00D042FD" w:rsidRPr="00A45E99" w:rsidRDefault="00D042FD" w:rsidP="00D042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Increased heart rate</w:t>
                  </w:r>
                </w:p>
                <w:p w:rsidR="002D1DB3" w:rsidRDefault="00D042FD" w:rsidP="00D042FD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Variable effect on blood pressure</w:t>
                  </w:r>
                </w:p>
              </w:tc>
            </w:tr>
            <w:tr w:rsidR="002D1DB3" w:rsidTr="00D042FD">
              <w:tc>
                <w:tcPr>
                  <w:tcW w:w="4603" w:type="dxa"/>
                </w:tcPr>
                <w:p w:rsidR="002D1DB3" w:rsidRDefault="0064519B" w:rsidP="002D1DB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With </w:t>
                  </w:r>
                  <w:r w:rsidR="002D1DB3" w:rsidRPr="00C20983">
                    <w:rPr>
                      <w:b/>
                      <w:sz w:val="20"/>
                      <w:szCs w:val="20"/>
                    </w:rPr>
                    <w:t>Mood Stabilizers</w:t>
                  </w:r>
                  <w:r w:rsidR="00F41330" w:rsidRPr="00F41330">
                    <w:rPr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  <w:tc>
                <w:tcPr>
                  <w:tcW w:w="4604" w:type="dxa"/>
                </w:tcPr>
                <w:p w:rsidR="002D1DB3" w:rsidRDefault="002D1DB3" w:rsidP="002D1DB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C20983">
                    <w:rPr>
                      <w:b/>
                      <w:sz w:val="20"/>
                      <w:szCs w:val="20"/>
                    </w:rPr>
                    <w:t xml:space="preserve">With GHB </w:t>
                  </w:r>
                  <w:r w:rsidRPr="00C20983">
                    <w:rPr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</w:tr>
            <w:tr w:rsidR="002D1DB3" w:rsidTr="00D042FD">
              <w:tc>
                <w:tcPr>
                  <w:tcW w:w="4603" w:type="dxa"/>
                </w:tcPr>
                <w:p w:rsidR="00F41330" w:rsidRPr="007027DE" w:rsidRDefault="002D1DB3" w:rsidP="00F4133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sz w:val="20"/>
                      <w:szCs w:val="20"/>
                    </w:rPr>
                  </w:pPr>
                  <w:r w:rsidRPr="00A45E99">
                    <w:rPr>
                      <w:sz w:val="20"/>
                      <w:szCs w:val="20"/>
                    </w:rPr>
                    <w:t>With Lithium, increased tremor</w:t>
                  </w:r>
                  <w:r w:rsidR="00F41330">
                    <w:rPr>
                      <w:sz w:val="20"/>
                      <w:szCs w:val="20"/>
                    </w:rPr>
                    <w:t>s</w:t>
                  </w:r>
                  <w:r w:rsidRPr="00A45E99">
                    <w:rPr>
                      <w:sz w:val="20"/>
                      <w:szCs w:val="20"/>
                    </w:rPr>
                    <w:t xml:space="preserve"> may occur with chronic alcohol use</w:t>
                  </w:r>
                </w:p>
              </w:tc>
              <w:tc>
                <w:tcPr>
                  <w:tcW w:w="4604" w:type="dxa"/>
                </w:tcPr>
                <w:p w:rsidR="002D1DB3" w:rsidRPr="006C11C7" w:rsidRDefault="002D1DB3" w:rsidP="00426A8E">
                  <w:pPr>
                    <w:pStyle w:val="NoSpacing"/>
                    <w:numPr>
                      <w:ilvl w:val="0"/>
                      <w:numId w:val="20"/>
                    </w:numPr>
                    <w:rPr>
                      <w:b/>
                      <w:sz w:val="19"/>
                      <w:szCs w:val="19"/>
                    </w:rPr>
                  </w:pPr>
                  <w:r w:rsidRPr="007027DE">
                    <w:rPr>
                      <w:sz w:val="19"/>
                      <w:szCs w:val="19"/>
                    </w:rPr>
                    <w:t>Synergistic CNS depressant effects can occur, with high doses of GHB causing respiratory depression</w:t>
                  </w:r>
                </w:p>
                <w:p w:rsidR="006C11C7" w:rsidRPr="007027DE" w:rsidRDefault="006C11C7" w:rsidP="006C11C7">
                  <w:pPr>
                    <w:pStyle w:val="NoSpacing"/>
                    <w:ind w:left="360"/>
                    <w:rPr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4C6866" w:rsidRPr="00A45E99" w:rsidRDefault="004C6866" w:rsidP="00B5449E">
            <w:pPr>
              <w:ind w:firstLine="720"/>
              <w:rPr>
                <w:sz w:val="20"/>
                <w:szCs w:val="20"/>
              </w:rPr>
            </w:pPr>
          </w:p>
        </w:tc>
      </w:tr>
      <w:tr w:rsidR="004C6866" w:rsidTr="00C20983">
        <w:tc>
          <w:tcPr>
            <w:tcW w:w="1578" w:type="dxa"/>
            <w:shd w:val="clear" w:color="auto" w:fill="17365D" w:themeFill="text2" w:themeFillShade="BF"/>
          </w:tcPr>
          <w:p w:rsidR="006C11C7" w:rsidRDefault="006C11C7" w:rsidP="00FF2B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6C11C7" w:rsidRDefault="006C11C7" w:rsidP="00FF2B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4C6866" w:rsidRDefault="004C6866" w:rsidP="00FF2B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C9A">
              <w:rPr>
                <w:b/>
                <w:bCs/>
                <w:color w:val="FFFFFF" w:themeColor="background1"/>
                <w:sz w:val="20"/>
                <w:szCs w:val="20"/>
              </w:rPr>
              <w:t>Psychiatric effects</w:t>
            </w:r>
          </w:p>
          <w:p w:rsidR="00C20983" w:rsidRPr="002D6C9A" w:rsidRDefault="00C20983" w:rsidP="00FF2B5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38" w:type="dxa"/>
          </w:tcPr>
          <w:p w:rsidR="00C20983" w:rsidRDefault="00C20983" w:rsidP="00C209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Chronic use of alcohol </w:t>
            </w:r>
            <w:r w:rsidR="002D1DB3">
              <w:rPr>
                <w:sz w:val="20"/>
                <w:szCs w:val="20"/>
              </w:rPr>
              <w:t>induce</w:t>
            </w:r>
            <w:r w:rsidR="00B87A3B">
              <w:rPr>
                <w:sz w:val="20"/>
                <w:szCs w:val="20"/>
              </w:rPr>
              <w:t>s</w:t>
            </w:r>
            <w:r w:rsidR="002D1DB3">
              <w:rPr>
                <w:sz w:val="20"/>
                <w:szCs w:val="20"/>
              </w:rPr>
              <w:t xml:space="preserve"> depression and </w:t>
            </w:r>
            <w:r>
              <w:rPr>
                <w:sz w:val="20"/>
                <w:szCs w:val="20"/>
              </w:rPr>
              <w:t>increases the risk of suicide due to alcohol-induced depression, impulsivity and lack of judgment associated with acute intoxication</w:t>
            </w:r>
          </w:p>
          <w:p w:rsidR="00C20983" w:rsidRDefault="00C20983" w:rsidP="00C2098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Chronic use of alcohol can also induce or exacerbate anxiety disorders and psychosis </w:t>
            </w:r>
            <w:r w:rsidRPr="002F64E7">
              <w:rPr>
                <w:sz w:val="20"/>
                <w:szCs w:val="20"/>
                <w:vertAlign w:val="superscript"/>
              </w:rPr>
              <w:t>6</w:t>
            </w:r>
          </w:p>
          <w:p w:rsidR="00C20983" w:rsidRPr="00C20983" w:rsidRDefault="00C20983" w:rsidP="00C20983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  <w:szCs w:val="20"/>
              </w:rPr>
              <w:t>Alcohol can induce memory blackouts, nightmares, insomnia, hallucinations, paranoia, intellectual impairment, dementia, and Wernicke-</w:t>
            </w:r>
            <w:proofErr w:type="spellStart"/>
            <w:r>
              <w:rPr>
                <w:sz w:val="20"/>
                <w:szCs w:val="20"/>
              </w:rPr>
              <w:t>Korsakoff</w:t>
            </w:r>
            <w:proofErr w:type="spellEnd"/>
            <w:r>
              <w:rPr>
                <w:sz w:val="20"/>
                <w:szCs w:val="20"/>
              </w:rPr>
              <w:t xml:space="preserve"> syndrome</w:t>
            </w:r>
            <w:r w:rsidRPr="00A54225">
              <w:rPr>
                <w:sz w:val="20"/>
                <w:szCs w:val="20"/>
                <w:vertAlign w:val="superscript"/>
              </w:rPr>
              <w:t>.7</w:t>
            </w:r>
          </w:p>
          <w:p w:rsidR="004C6866" w:rsidRDefault="00C20983" w:rsidP="00C20983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  <w:szCs w:val="20"/>
              </w:rPr>
              <w:t>Chronic alcohol use by clients with schizophrenia has been associated with more florid symptoms, more re-hospitalizations, poorer long term outcome</w:t>
            </w:r>
            <w:r w:rsidR="00B87A3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and increased risk of tardive dyskinesia </w:t>
            </w:r>
            <w:r w:rsidRPr="00A54225">
              <w:rPr>
                <w:sz w:val="20"/>
                <w:szCs w:val="20"/>
                <w:vertAlign w:val="superscript"/>
              </w:rPr>
              <w:t>7</w:t>
            </w:r>
          </w:p>
        </w:tc>
      </w:tr>
    </w:tbl>
    <w:p w:rsidR="003C183F" w:rsidRDefault="003C183F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6C11C7" w:rsidRDefault="006C11C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191A77" w:rsidRPr="00191A77" w:rsidRDefault="00191A77" w:rsidP="00191A77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  <w:r w:rsidRPr="00191A77">
        <w:rPr>
          <w:rFonts w:ascii="Trebuchet MS" w:hAnsi="Trebuchet MS"/>
          <w:b/>
          <w:sz w:val="36"/>
          <w:szCs w:val="16"/>
          <w:lang w:eastAsia="en-CA"/>
        </w:rPr>
        <w:lastRenderedPageBreak/>
        <w:t>References</w:t>
      </w:r>
    </w:p>
    <w:p w:rsidR="00191A77" w:rsidRDefault="00191A77" w:rsidP="00191A77">
      <w:pPr>
        <w:pStyle w:val="NoSpacing"/>
        <w:rPr>
          <w:sz w:val="16"/>
          <w:szCs w:val="16"/>
          <w:lang w:eastAsia="en-CA"/>
        </w:rPr>
      </w:pPr>
    </w:p>
    <w:p w:rsidR="00191A77" w:rsidRPr="00BC7808" w:rsidRDefault="00191A77" w:rsidP="00F56A1F">
      <w:pPr>
        <w:pStyle w:val="NoSpacing"/>
        <w:rPr>
          <w:sz w:val="20"/>
          <w:szCs w:val="16"/>
          <w:lang w:eastAsia="en-CA"/>
        </w:rPr>
      </w:pPr>
    </w:p>
    <w:p w:rsidR="006250C8" w:rsidRPr="006250C8" w:rsidRDefault="006250C8" w:rsidP="006250C8">
      <w:pPr>
        <w:pStyle w:val="NoSpacing"/>
        <w:numPr>
          <w:ilvl w:val="0"/>
          <w:numId w:val="28"/>
        </w:numPr>
        <w:rPr>
          <w:i/>
          <w:iCs/>
          <w:sz w:val="20"/>
          <w:szCs w:val="16"/>
          <w:lang w:eastAsia="en-CA"/>
        </w:rPr>
      </w:pPr>
      <w:r w:rsidRPr="006250C8">
        <w:rPr>
          <w:sz w:val="20"/>
          <w:szCs w:val="16"/>
          <w:lang w:eastAsia="en-CA"/>
        </w:rPr>
        <w:t xml:space="preserve">Elliott, D. Y., Geyer, C., </w:t>
      </w:r>
      <w:proofErr w:type="spellStart"/>
      <w:r w:rsidRPr="006250C8">
        <w:rPr>
          <w:sz w:val="20"/>
          <w:szCs w:val="16"/>
          <w:lang w:eastAsia="en-CA"/>
        </w:rPr>
        <w:t>Lionetti</w:t>
      </w:r>
      <w:proofErr w:type="spellEnd"/>
      <w:r w:rsidRPr="006250C8">
        <w:rPr>
          <w:sz w:val="20"/>
          <w:szCs w:val="16"/>
          <w:lang w:eastAsia="en-CA"/>
        </w:rPr>
        <w:t xml:space="preserve">, T., &amp; Doty, L. (2013). Managing alcohol withdrawal in hospitalized patients. </w:t>
      </w:r>
      <w:r w:rsidRPr="006250C8">
        <w:rPr>
          <w:i/>
          <w:iCs/>
          <w:sz w:val="20"/>
          <w:szCs w:val="16"/>
          <w:lang w:eastAsia="en-CA"/>
        </w:rPr>
        <w:t>Nursing Critical Care</w:t>
      </w:r>
      <w:r w:rsidRPr="006250C8">
        <w:rPr>
          <w:sz w:val="20"/>
          <w:szCs w:val="16"/>
          <w:lang w:eastAsia="en-CA"/>
        </w:rPr>
        <w:t xml:space="preserve">, </w:t>
      </w:r>
      <w:r w:rsidRPr="006250C8">
        <w:rPr>
          <w:i/>
          <w:iCs/>
          <w:sz w:val="20"/>
          <w:szCs w:val="16"/>
          <w:lang w:eastAsia="en-CA"/>
        </w:rPr>
        <w:t>8</w:t>
      </w:r>
      <w:r w:rsidRPr="006250C8">
        <w:rPr>
          <w:sz w:val="20"/>
          <w:szCs w:val="16"/>
          <w:lang w:eastAsia="en-CA"/>
        </w:rPr>
        <w:t>(3), 36-44.</w:t>
      </w:r>
    </w:p>
    <w:p w:rsidR="006250C8" w:rsidRPr="006250C8" w:rsidRDefault="006250C8" w:rsidP="006250C8">
      <w:pPr>
        <w:pStyle w:val="NoSpacing"/>
        <w:numPr>
          <w:ilvl w:val="0"/>
          <w:numId w:val="28"/>
        </w:numPr>
        <w:rPr>
          <w:sz w:val="20"/>
          <w:szCs w:val="16"/>
        </w:rPr>
      </w:pPr>
      <w:r w:rsidRPr="006250C8">
        <w:rPr>
          <w:sz w:val="20"/>
          <w:szCs w:val="16"/>
        </w:rPr>
        <w:t xml:space="preserve">Keys, V. A. (2011). Alcohol withdrawal during hospitalization: early recognition and consistent intervention are critical.  </w:t>
      </w:r>
      <w:r w:rsidRPr="006250C8">
        <w:rPr>
          <w:i/>
          <w:iCs/>
          <w:sz w:val="20"/>
          <w:szCs w:val="16"/>
        </w:rPr>
        <w:t xml:space="preserve">American Journal of Nursing, </w:t>
      </w:r>
      <w:r w:rsidRPr="006250C8">
        <w:rPr>
          <w:sz w:val="20"/>
          <w:szCs w:val="16"/>
        </w:rPr>
        <w:t>111(1), 40-44.</w:t>
      </w:r>
    </w:p>
    <w:p w:rsidR="006250C8" w:rsidRPr="006250C8" w:rsidRDefault="006250C8" w:rsidP="006250C8">
      <w:pPr>
        <w:pStyle w:val="NoSpacing"/>
        <w:numPr>
          <w:ilvl w:val="0"/>
          <w:numId w:val="28"/>
        </w:numPr>
        <w:rPr>
          <w:b/>
          <w:bCs/>
          <w:sz w:val="20"/>
          <w:szCs w:val="16"/>
        </w:rPr>
      </w:pPr>
      <w:r w:rsidRPr="006250C8">
        <w:rPr>
          <w:sz w:val="20"/>
          <w:szCs w:val="16"/>
        </w:rPr>
        <w:t>Medline Plus. (2015). Wernicke-</w:t>
      </w:r>
      <w:proofErr w:type="spellStart"/>
      <w:r w:rsidRPr="006250C8">
        <w:rPr>
          <w:sz w:val="20"/>
          <w:szCs w:val="16"/>
        </w:rPr>
        <w:t>Korsakoff</w:t>
      </w:r>
      <w:proofErr w:type="spellEnd"/>
      <w:r w:rsidRPr="006250C8">
        <w:rPr>
          <w:sz w:val="20"/>
          <w:szCs w:val="16"/>
        </w:rPr>
        <w:t xml:space="preserve"> syndrome. Retrieved on Feb 5, 2015, from </w:t>
      </w:r>
      <w:hyperlink r:id="rId9" w:history="1">
        <w:r w:rsidRPr="006250C8">
          <w:rPr>
            <w:rStyle w:val="Hyperlink"/>
            <w:rFonts w:asciiTheme="minorHAnsi" w:hAnsiTheme="minorHAnsi" w:cs="Arial"/>
            <w:color w:val="auto"/>
            <w:sz w:val="20"/>
            <w:szCs w:val="16"/>
            <w:u w:val="none"/>
          </w:rPr>
          <w:t xml:space="preserve">http://www.nlm.nih.gov/ </w:t>
        </w:r>
        <w:proofErr w:type="spellStart"/>
        <w:r w:rsidRPr="006250C8">
          <w:rPr>
            <w:rStyle w:val="Hyperlink"/>
            <w:rFonts w:asciiTheme="minorHAnsi" w:hAnsiTheme="minorHAnsi" w:cs="Arial"/>
            <w:color w:val="auto"/>
            <w:sz w:val="20"/>
            <w:szCs w:val="16"/>
            <w:u w:val="none"/>
          </w:rPr>
          <w:t>medlineplus</w:t>
        </w:r>
        <w:proofErr w:type="spellEnd"/>
        <w:r w:rsidRPr="006250C8">
          <w:rPr>
            <w:rStyle w:val="Hyperlink"/>
            <w:rFonts w:asciiTheme="minorHAnsi" w:hAnsiTheme="minorHAnsi" w:cs="Arial"/>
            <w:color w:val="auto"/>
            <w:sz w:val="20"/>
            <w:szCs w:val="16"/>
            <w:u w:val="none"/>
          </w:rPr>
          <w:t>/</w:t>
        </w:r>
        <w:proofErr w:type="spellStart"/>
        <w:r w:rsidRPr="006250C8">
          <w:rPr>
            <w:rStyle w:val="Hyperlink"/>
            <w:rFonts w:asciiTheme="minorHAnsi" w:hAnsiTheme="minorHAnsi" w:cs="Arial"/>
            <w:color w:val="auto"/>
            <w:sz w:val="20"/>
            <w:szCs w:val="16"/>
            <w:u w:val="none"/>
          </w:rPr>
          <w:t>ency</w:t>
        </w:r>
        <w:proofErr w:type="spellEnd"/>
        <w:r w:rsidRPr="006250C8">
          <w:rPr>
            <w:rStyle w:val="Hyperlink"/>
            <w:rFonts w:asciiTheme="minorHAnsi" w:hAnsiTheme="minorHAnsi" w:cs="Arial"/>
            <w:color w:val="auto"/>
            <w:sz w:val="20"/>
            <w:szCs w:val="16"/>
            <w:u w:val="none"/>
          </w:rPr>
          <w:t>/article/000771.htm</w:t>
        </w:r>
      </w:hyperlink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Fonts w:asciiTheme="minorHAnsi" w:hAnsiTheme="minorHAnsi"/>
          <w:b/>
          <w:bCs/>
          <w:sz w:val="20"/>
          <w:szCs w:val="20"/>
        </w:rPr>
      </w:pPr>
      <w:r w:rsidRPr="00A62A3A">
        <w:rPr>
          <w:rFonts w:asciiTheme="minorHAnsi" w:hAnsiTheme="minorHAnsi"/>
          <w:sz w:val="20"/>
          <w:szCs w:val="20"/>
        </w:rPr>
        <w:t>World Health Organization</w:t>
      </w:r>
      <w:r w:rsidRPr="00A62A3A">
        <w:rPr>
          <w:rStyle w:val="apple-converted-space"/>
          <w:rFonts w:asciiTheme="minorHAnsi" w:hAnsiTheme="minorHAnsi" w:cs="Helvetica"/>
          <w:sz w:val="20"/>
          <w:szCs w:val="20"/>
          <w:shd w:val="clear" w:color="auto" w:fill="FFFFFF"/>
        </w:rPr>
        <w:t xml:space="preserve">. (2009). </w:t>
      </w:r>
      <w:r w:rsidRPr="00A62A3A">
        <w:rPr>
          <w:rFonts w:asciiTheme="minorHAnsi" w:hAnsiTheme="minorHAnsi"/>
          <w:i/>
          <w:sz w:val="20"/>
          <w:szCs w:val="20"/>
        </w:rPr>
        <w:t>Clinical guidelines for withdrawal management and treatment of drug dependence in closed settings</w:t>
      </w:r>
      <w:r w:rsidRPr="00A62A3A">
        <w:rPr>
          <w:rFonts w:asciiTheme="minorHAnsi" w:hAnsiTheme="minorHAnsi"/>
          <w:sz w:val="20"/>
          <w:szCs w:val="20"/>
        </w:rPr>
        <w:t xml:space="preserve">. Retrieved on February 13, 2015, from http://www.wpro.who.int/publications/docs/ </w:t>
      </w:r>
      <w:proofErr w:type="spellStart"/>
      <w:r w:rsidRPr="00A62A3A">
        <w:rPr>
          <w:rFonts w:asciiTheme="minorHAnsi" w:hAnsiTheme="minorHAnsi"/>
          <w:sz w:val="20"/>
          <w:szCs w:val="20"/>
        </w:rPr>
        <w:t>ClinicalGuidelines_forweb.pdf?ua</w:t>
      </w:r>
      <w:proofErr w:type="spellEnd"/>
      <w:r w:rsidRPr="00A62A3A">
        <w:rPr>
          <w:rFonts w:asciiTheme="minorHAnsi" w:hAnsiTheme="minorHAnsi"/>
          <w:sz w:val="20"/>
          <w:szCs w:val="20"/>
        </w:rPr>
        <w:t>=1</w:t>
      </w:r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Fonts w:asciiTheme="minorHAnsi" w:hAnsiTheme="minorHAnsi" w:cs="Times New Roman"/>
          <w:sz w:val="20"/>
          <w:szCs w:val="20"/>
        </w:rPr>
      </w:pPr>
      <w:r w:rsidRPr="00A62A3A">
        <w:rPr>
          <w:rFonts w:asciiTheme="minorHAnsi" w:hAnsiTheme="minorHAnsi" w:cs="Times New Roman"/>
          <w:sz w:val="20"/>
          <w:szCs w:val="20"/>
        </w:rPr>
        <w:t xml:space="preserve">Centre for Addictions and Mental Health. (2010). </w:t>
      </w:r>
      <w:r w:rsidRPr="00A62A3A">
        <w:rPr>
          <w:rFonts w:asciiTheme="minorHAnsi" w:hAnsiTheme="minorHAnsi" w:cs="Times New Roman"/>
          <w:i/>
          <w:sz w:val="20"/>
          <w:szCs w:val="20"/>
        </w:rPr>
        <w:t>Primary Care Addiction Toolkit</w:t>
      </w:r>
      <w:r w:rsidRPr="00A62A3A">
        <w:rPr>
          <w:rFonts w:asciiTheme="minorHAnsi" w:hAnsiTheme="minorHAnsi" w:cs="Times New Roman"/>
          <w:sz w:val="20"/>
          <w:szCs w:val="20"/>
        </w:rPr>
        <w:t>. Retrieved on Feb 13, 2015, from https://www.porticonetwork.ca/tools/toolkits/pcat</w:t>
      </w:r>
    </w:p>
    <w:p w:rsidR="001C2363" w:rsidRPr="00A62A3A" w:rsidRDefault="001C2363" w:rsidP="006250C8">
      <w:pPr>
        <w:pStyle w:val="NoSpacing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proofErr w:type="spellStart"/>
      <w:r w:rsidRPr="00A62A3A">
        <w:rPr>
          <w:rFonts w:asciiTheme="minorHAnsi" w:hAnsiTheme="minorHAnsi"/>
          <w:sz w:val="20"/>
          <w:szCs w:val="20"/>
        </w:rPr>
        <w:t>Herie</w:t>
      </w:r>
      <w:proofErr w:type="spellEnd"/>
      <w:r w:rsidRPr="00A62A3A">
        <w:rPr>
          <w:rFonts w:asciiTheme="minorHAnsi" w:hAnsiTheme="minorHAnsi"/>
          <w:sz w:val="20"/>
          <w:szCs w:val="20"/>
        </w:rPr>
        <w:t xml:space="preserve">, M., &amp; Skinner, W.J. (2014). </w:t>
      </w:r>
      <w:r w:rsidRPr="00A62A3A">
        <w:rPr>
          <w:rFonts w:asciiTheme="minorHAnsi" w:hAnsiTheme="minorHAnsi"/>
          <w:i/>
          <w:sz w:val="20"/>
          <w:szCs w:val="20"/>
        </w:rPr>
        <w:t xml:space="preserve">Fundamental of Addiction: A practical Guide for Counsellors. </w:t>
      </w:r>
      <w:r w:rsidRPr="00A62A3A">
        <w:rPr>
          <w:rFonts w:asciiTheme="minorHAnsi" w:hAnsiTheme="minorHAnsi"/>
          <w:sz w:val="20"/>
          <w:szCs w:val="20"/>
        </w:rPr>
        <w:t xml:space="preserve">Toronto: Library and Archives Canada Cataloguing in Publication. </w:t>
      </w:r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proofErr w:type="spellStart"/>
      <w:r w:rsidRPr="00A62A3A">
        <w:rPr>
          <w:rFonts w:asciiTheme="minorHAnsi" w:hAnsiTheme="minorHAnsi"/>
          <w:sz w:val="20"/>
          <w:szCs w:val="20"/>
        </w:rPr>
        <w:t>Bezchlibnyk</w:t>
      </w:r>
      <w:proofErr w:type="spellEnd"/>
      <w:r w:rsidRPr="00A62A3A">
        <w:rPr>
          <w:rFonts w:asciiTheme="minorHAnsi" w:hAnsiTheme="minorHAnsi"/>
          <w:sz w:val="20"/>
          <w:szCs w:val="20"/>
        </w:rPr>
        <w:t xml:space="preserve">-Butler, K., Jeffries, J., </w:t>
      </w:r>
      <w:proofErr w:type="spellStart"/>
      <w:r w:rsidRPr="00A62A3A">
        <w:rPr>
          <w:rFonts w:asciiTheme="minorHAnsi" w:hAnsiTheme="minorHAnsi"/>
          <w:sz w:val="20"/>
          <w:szCs w:val="20"/>
        </w:rPr>
        <w:t>Procyshyn</w:t>
      </w:r>
      <w:proofErr w:type="spellEnd"/>
      <w:r w:rsidRPr="00A62A3A">
        <w:rPr>
          <w:rFonts w:asciiTheme="minorHAnsi" w:hAnsiTheme="minorHAnsi"/>
          <w:sz w:val="20"/>
          <w:szCs w:val="20"/>
        </w:rPr>
        <w:t>, R., Virani, A. (2014). Clinical Handbook of Psychotropic Drugs (20</w:t>
      </w:r>
      <w:r w:rsidRPr="00A62A3A">
        <w:rPr>
          <w:rFonts w:asciiTheme="minorHAnsi" w:hAnsiTheme="minorHAnsi"/>
          <w:sz w:val="20"/>
          <w:szCs w:val="20"/>
          <w:vertAlign w:val="superscript"/>
        </w:rPr>
        <w:t>th</w:t>
      </w:r>
      <w:r w:rsidRPr="00A62A3A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A62A3A">
        <w:rPr>
          <w:rFonts w:asciiTheme="minorHAnsi" w:hAnsiTheme="minorHAnsi"/>
          <w:sz w:val="20"/>
          <w:szCs w:val="20"/>
        </w:rPr>
        <w:t>ed</w:t>
      </w:r>
      <w:proofErr w:type="spellEnd"/>
      <w:proofErr w:type="gramEnd"/>
      <w:r w:rsidRPr="00A62A3A">
        <w:rPr>
          <w:rFonts w:asciiTheme="minorHAnsi" w:hAnsiTheme="minorHAnsi"/>
          <w:sz w:val="20"/>
          <w:szCs w:val="20"/>
        </w:rPr>
        <w:t xml:space="preserve">). </w:t>
      </w:r>
      <w:r w:rsidR="00A62A3A" w:rsidRPr="00A62A3A">
        <w:rPr>
          <w:rFonts w:asciiTheme="minorHAnsi" w:hAnsiTheme="minorHAnsi"/>
          <w:sz w:val="20"/>
          <w:szCs w:val="20"/>
        </w:rPr>
        <w:t xml:space="preserve">Toronto: </w:t>
      </w:r>
      <w:proofErr w:type="spellStart"/>
      <w:r w:rsidRPr="00A62A3A">
        <w:rPr>
          <w:rFonts w:asciiTheme="minorHAnsi" w:hAnsiTheme="minorHAnsi"/>
          <w:sz w:val="20"/>
          <w:szCs w:val="20"/>
        </w:rPr>
        <w:t>Hogrefe</w:t>
      </w:r>
      <w:proofErr w:type="spellEnd"/>
      <w:r w:rsidRPr="00A62A3A">
        <w:rPr>
          <w:rFonts w:asciiTheme="minorHAnsi" w:hAnsiTheme="minorHAnsi"/>
          <w:sz w:val="20"/>
          <w:szCs w:val="20"/>
        </w:rPr>
        <w:t xml:space="preserve"> Publishing</w:t>
      </w:r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</w:pPr>
      <w:r w:rsidRPr="00A62A3A">
        <w:rPr>
          <w:rFonts w:asciiTheme="minorHAnsi" w:hAnsiTheme="minorHAnsi" w:cs="Times New Roman"/>
          <w:sz w:val="20"/>
          <w:szCs w:val="20"/>
        </w:rPr>
        <w:t xml:space="preserve">Queensland Health. (2012, August) Queensland Alcohol and Drug Withdrawal Clinical Practice Guidelines. Retrieved February 10, 2015 from   </w:t>
      </w:r>
      <w:hyperlink r:id="rId10" w:history="1">
        <w:r w:rsidRPr="00A62A3A">
          <w:rPr>
            <w:rStyle w:val="Hyperlink"/>
            <w:rFonts w:asciiTheme="minorHAnsi" w:hAnsiTheme="minorHAnsi" w:cs="Times New Roman"/>
            <w:color w:val="auto"/>
            <w:sz w:val="20"/>
            <w:szCs w:val="20"/>
            <w:u w:val="none"/>
          </w:rPr>
          <w:t>http://www.dovetail.org.au/insight/modules/qh_detox_guide.pdf</w:t>
        </w:r>
      </w:hyperlink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Fonts w:asciiTheme="minorHAnsi" w:eastAsia="Times New Roman" w:hAnsiTheme="minorHAnsi" w:cs="Times New Roman"/>
          <w:i/>
          <w:iCs/>
          <w:sz w:val="20"/>
          <w:szCs w:val="20"/>
          <w:bdr w:val="none" w:sz="0" w:space="0" w:color="auto" w:frame="1"/>
          <w:lang w:val="en" w:eastAsia="en-CA"/>
        </w:rPr>
      </w:pPr>
      <w:proofErr w:type="spellStart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Lüscher</w:t>
      </w:r>
      <w:proofErr w:type="spellEnd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 xml:space="preserve"> C </w:t>
      </w:r>
      <w:r w:rsidRPr="00A62A3A">
        <w:rPr>
          <w:rFonts w:asciiTheme="minorHAnsi" w:eastAsia="Times New Roman" w:hAnsiTheme="minorHAnsi" w:cs="Times New Roman"/>
          <w:vanish/>
          <w:sz w:val="20"/>
          <w:szCs w:val="20"/>
          <w:bdr w:val="none" w:sz="0" w:space="0" w:color="auto" w:frame="1"/>
          <w:lang w:val="en" w:eastAsia="en-CA"/>
        </w:rPr>
        <w:t>Lüscher, Christian.</w:t>
      </w:r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 xml:space="preserve">(2012). Chapter 32. Drugs of Abuse. In </w:t>
      </w:r>
      <w:r w:rsidRPr="00A62A3A">
        <w:rPr>
          <w:rFonts w:asciiTheme="minorHAnsi" w:eastAsia="Times New Roman" w:hAnsiTheme="minorHAnsi" w:cs="Times New Roman"/>
          <w:vanish/>
          <w:sz w:val="20"/>
          <w:szCs w:val="20"/>
          <w:bdr w:val="none" w:sz="0" w:space="0" w:color="auto" w:frame="1"/>
          <w:lang w:val="en" w:eastAsia="en-CA"/>
        </w:rPr>
        <w:t xml:space="preserve">Katzung BG, Masters SB, Trevor AJ. </w:t>
      </w:r>
      <w:proofErr w:type="spellStart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Katzung</w:t>
      </w:r>
      <w:proofErr w:type="spellEnd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 xml:space="preserve"> B.G., Masters S.B., Trevor A.J. </w:t>
      </w:r>
      <w:r w:rsidRPr="00A62A3A">
        <w:rPr>
          <w:rFonts w:asciiTheme="minorHAnsi" w:eastAsia="Times New Roman" w:hAnsiTheme="minorHAnsi" w:cs="Times New Roman"/>
          <w:vanish/>
          <w:sz w:val="20"/>
          <w:szCs w:val="20"/>
          <w:bdr w:val="none" w:sz="0" w:space="0" w:color="auto" w:frame="1"/>
          <w:lang w:val="en" w:eastAsia="en-CA"/>
        </w:rPr>
        <w:t>Eds. Bertram G. Katzung, et al.</w:t>
      </w:r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 xml:space="preserve"> (</w:t>
      </w:r>
      <w:proofErr w:type="spellStart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Eds</w:t>
      </w:r>
      <w:proofErr w:type="spellEnd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 xml:space="preserve">), </w:t>
      </w:r>
      <w:r w:rsidRPr="00A62A3A">
        <w:rPr>
          <w:rFonts w:asciiTheme="minorHAnsi" w:eastAsia="Times New Roman" w:hAnsiTheme="minorHAnsi" w:cs="Times New Roman"/>
          <w:i/>
          <w:iCs/>
          <w:sz w:val="20"/>
          <w:szCs w:val="20"/>
          <w:bdr w:val="none" w:sz="0" w:space="0" w:color="auto" w:frame="1"/>
          <w:lang w:val="en" w:eastAsia="en-CA"/>
        </w:rPr>
        <w:t xml:space="preserve">Basic &amp; Clinical Pharmacology, 12e. </w:t>
      </w:r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Retrieved February 2015 from http://accessmedicine.mhmedical.com/</w:t>
      </w:r>
      <w:proofErr w:type="gramStart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content.aspx ?</w:t>
      </w:r>
      <w:proofErr w:type="spellStart"/>
      <w:proofErr w:type="gramEnd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bookid</w:t>
      </w:r>
      <w:proofErr w:type="spellEnd"/>
      <w:r w:rsidRPr="00A62A3A">
        <w:rPr>
          <w:rFonts w:asciiTheme="minorHAnsi" w:eastAsia="Times New Roman" w:hAnsiTheme="minorHAnsi" w:cs="Times New Roman"/>
          <w:sz w:val="20"/>
          <w:szCs w:val="20"/>
          <w:bdr w:val="none" w:sz="0" w:space="0" w:color="auto" w:frame="1"/>
          <w:lang w:val="en" w:eastAsia="en-CA"/>
        </w:rPr>
        <w:t>=388&amp;Sectionid=45764254.</w:t>
      </w:r>
    </w:p>
    <w:p w:rsidR="006250C8" w:rsidRPr="00A62A3A" w:rsidRDefault="006250C8" w:rsidP="006250C8">
      <w:pPr>
        <w:pStyle w:val="NoSpacing"/>
        <w:numPr>
          <w:ilvl w:val="0"/>
          <w:numId w:val="28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A62A3A">
        <w:rPr>
          <w:rFonts w:asciiTheme="minorHAnsi" w:hAnsiTheme="minorHAnsi" w:cs="Times New Roman"/>
          <w:sz w:val="20"/>
          <w:szCs w:val="20"/>
        </w:rPr>
        <w:t xml:space="preserve">U.S Department of Health &amp; Human Services. (2014). </w:t>
      </w:r>
      <w:r w:rsidRPr="00A62A3A">
        <w:rPr>
          <w:rFonts w:asciiTheme="minorHAnsi" w:hAnsiTheme="minorHAnsi" w:cs="Times New Roman"/>
          <w:i/>
          <w:sz w:val="20"/>
          <w:szCs w:val="20"/>
        </w:rPr>
        <w:t>Ethanol</w:t>
      </w:r>
      <w:r w:rsidRPr="00A62A3A">
        <w:rPr>
          <w:rFonts w:asciiTheme="minorHAnsi" w:hAnsiTheme="minorHAnsi" w:cs="Times New Roman"/>
          <w:sz w:val="20"/>
          <w:szCs w:val="20"/>
        </w:rPr>
        <w:t xml:space="preserve">. </w:t>
      </w:r>
      <w:r w:rsidRPr="00A62A3A">
        <w:rPr>
          <w:rFonts w:asciiTheme="minorHAnsi" w:hAnsiTheme="minorHAnsi"/>
          <w:sz w:val="20"/>
          <w:szCs w:val="20"/>
        </w:rPr>
        <w:t xml:space="preserve">Retrieved on February 10, 2015, from </w:t>
      </w:r>
      <w:hyperlink r:id="rId11" w:history="1">
        <w:r w:rsidRPr="00A62A3A">
          <w:rPr>
            <w:rStyle w:val="Hyperlink"/>
            <w:rFonts w:asciiTheme="minorHAnsi" w:hAnsiTheme="minorHAnsi" w:cs="Times New Roman"/>
            <w:color w:val="auto"/>
            <w:sz w:val="20"/>
            <w:szCs w:val="20"/>
            <w:u w:val="none"/>
          </w:rPr>
          <w:t>http://householdproducts.nlm.nih.gov/cgi-bin/household/brands?tbl=chem&amp;id=25</w:t>
        </w:r>
      </w:hyperlink>
    </w:p>
    <w:p w:rsidR="006250C8" w:rsidRPr="00A62A3A" w:rsidRDefault="00A62A3A" w:rsidP="006250C8">
      <w:pPr>
        <w:pStyle w:val="NoSpacing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White, J.M., Irvine, R.J. (2002</w:t>
      </w:r>
      <w:r w:rsidR="006250C8"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).</w:t>
      </w:r>
      <w:r w:rsidR="006250C8" w:rsidRPr="00A62A3A">
        <w:rPr>
          <w:rFonts w:asciiTheme="minorHAnsi" w:hAnsiTheme="minorHAnsi"/>
          <w:sz w:val="20"/>
          <w:szCs w:val="20"/>
        </w:rPr>
        <w:t xml:space="preserve"> </w:t>
      </w:r>
      <w:r w:rsidR="006250C8"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Mechanisms of fatal opioid overdose. Addiction. Volume 94. Issue. 7.</w:t>
      </w:r>
    </w:p>
    <w:p w:rsidR="00A62A3A" w:rsidRDefault="00A62A3A" w:rsidP="006250C8">
      <w:pPr>
        <w:pStyle w:val="ListParagraph"/>
        <w:numPr>
          <w:ilvl w:val="0"/>
          <w:numId w:val="28"/>
        </w:numPr>
        <w:spacing w:line="240" w:lineRule="auto"/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</w:pP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Dettling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A., Fischer, F., </w:t>
      </w: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Böhler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Ulrichs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Skopp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Graw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Haffner</w:t>
      </w:r>
      <w:proofErr w:type="spellEnd"/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, H. T. (2007). Ethanol elimination rates in men and women in consideration of the calculated liver weight.</w:t>
      </w:r>
      <w:r w:rsidRPr="00A62A3A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r w:rsidRPr="00A62A3A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>Alcohol</w:t>
      </w:r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,</w:t>
      </w:r>
      <w:r w:rsidRPr="00A62A3A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r w:rsidRPr="00A62A3A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A62A3A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(6), 415-420.</w:t>
      </w: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 xml:space="preserve"> </w:t>
      </w:r>
    </w:p>
    <w:p w:rsidR="006250C8" w:rsidRPr="00A62A3A" w:rsidRDefault="006250C8" w:rsidP="006250C8">
      <w:pPr>
        <w:pStyle w:val="ListParagraph"/>
        <w:numPr>
          <w:ilvl w:val="0"/>
          <w:numId w:val="28"/>
        </w:numPr>
        <w:spacing w:line="240" w:lineRule="auto"/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</w:pP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 xml:space="preserve">Olson, K. R. (2012). </w:t>
      </w:r>
      <w:r w:rsidRPr="00A62A3A">
        <w:rPr>
          <w:rStyle w:val="Hyperlink"/>
          <w:rFonts w:asciiTheme="minorHAnsi" w:hAnsiTheme="minorHAnsi" w:cs="Times New Roman"/>
          <w:i/>
          <w:color w:val="auto"/>
          <w:sz w:val="20"/>
          <w:szCs w:val="20"/>
          <w:u w:val="none"/>
        </w:rPr>
        <w:t>Poisoning &amp; Drug Overdose.</w:t>
      </w: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 xml:space="preserve"> United States of America: McGraw-Hill Companies Inc.                                 </w:t>
      </w:r>
    </w:p>
    <w:p w:rsidR="006250C8" w:rsidRPr="00A62A3A" w:rsidRDefault="006250C8" w:rsidP="006250C8">
      <w:pPr>
        <w:pStyle w:val="ListParagraph"/>
        <w:numPr>
          <w:ilvl w:val="0"/>
          <w:numId w:val="28"/>
        </w:numPr>
        <w:spacing w:line="240" w:lineRule="auto"/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</w:pPr>
      <w:proofErr w:type="spellStart"/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Katzung</w:t>
      </w:r>
      <w:proofErr w:type="spellEnd"/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 xml:space="preserve">, B. G., Masters, S. B., &amp; Trevor, A. J. (2012). </w:t>
      </w:r>
      <w:r w:rsidRPr="00A62A3A">
        <w:rPr>
          <w:rStyle w:val="Hyperlink"/>
          <w:rFonts w:asciiTheme="minorHAnsi" w:hAnsiTheme="minorHAnsi" w:cs="Times New Roman"/>
          <w:i/>
          <w:color w:val="auto"/>
          <w:sz w:val="20"/>
          <w:szCs w:val="20"/>
          <w:u w:val="none"/>
        </w:rPr>
        <w:t>Basic &amp; Clinical Pharmacology</w:t>
      </w: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. United States of America: McGraw-Hill Companies Inc.</w:t>
      </w:r>
      <w:bookmarkStart w:id="0" w:name="_GoBack"/>
      <w:bookmarkEnd w:id="0"/>
    </w:p>
    <w:p w:rsidR="006250C8" w:rsidRPr="00A62A3A" w:rsidRDefault="006250C8" w:rsidP="006250C8">
      <w:pPr>
        <w:pStyle w:val="ListParagraph"/>
        <w:numPr>
          <w:ilvl w:val="0"/>
          <w:numId w:val="28"/>
        </w:numPr>
        <w:spacing w:line="240" w:lineRule="auto"/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</w:pP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 xml:space="preserve">Townsend, M.C. (2015). </w:t>
      </w:r>
      <w:r w:rsidRPr="00A62A3A">
        <w:rPr>
          <w:rStyle w:val="Hyperlink"/>
          <w:rFonts w:asciiTheme="minorHAnsi" w:hAnsiTheme="minorHAnsi" w:cs="Times New Roman"/>
          <w:i/>
          <w:color w:val="auto"/>
          <w:sz w:val="20"/>
          <w:szCs w:val="20"/>
          <w:u w:val="none"/>
        </w:rPr>
        <w:t xml:space="preserve">Psychiatric Nursing: Assessment, Care Plans, and Medications. </w:t>
      </w: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Oklahoma: F.A. Davis Company</w:t>
      </w:r>
      <w:r w:rsidRPr="00A62A3A">
        <w:rPr>
          <w:rStyle w:val="Hyperlink"/>
          <w:rFonts w:asciiTheme="minorHAnsi" w:hAnsiTheme="minorHAnsi" w:cs="Times New Roman"/>
          <w:i/>
          <w:color w:val="auto"/>
          <w:sz w:val="20"/>
          <w:szCs w:val="20"/>
          <w:u w:val="none"/>
        </w:rPr>
        <w:t xml:space="preserve">, and Medications. </w:t>
      </w:r>
      <w:r w:rsidRPr="00A62A3A">
        <w:rPr>
          <w:rStyle w:val="Hyperlink"/>
          <w:rFonts w:asciiTheme="minorHAnsi" w:hAnsiTheme="minorHAnsi" w:cs="Times New Roman"/>
          <w:color w:val="auto"/>
          <w:sz w:val="20"/>
          <w:szCs w:val="20"/>
          <w:u w:val="none"/>
        </w:rPr>
        <w:t>Oklahoma: F.A. Davis Company.</w:t>
      </w:r>
    </w:p>
    <w:p w:rsidR="002D1DB3" w:rsidRDefault="002D1DB3"/>
    <w:sectPr w:rsidR="002D1DB3" w:rsidSect="004C6866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A" w:rsidRDefault="00601CFA" w:rsidP="004C6866">
      <w:pPr>
        <w:spacing w:after="0" w:line="240" w:lineRule="auto"/>
      </w:pPr>
      <w:r>
        <w:separator/>
      </w:r>
    </w:p>
  </w:endnote>
  <w:endnote w:type="continuationSeparator" w:id="0">
    <w:p w:rsidR="00601CFA" w:rsidRDefault="00601CFA" w:rsidP="004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A" w:rsidRDefault="00601CFA" w:rsidP="004C6866">
      <w:pPr>
        <w:spacing w:after="0" w:line="240" w:lineRule="auto"/>
      </w:pPr>
      <w:r>
        <w:separator/>
      </w:r>
    </w:p>
  </w:footnote>
  <w:footnote w:type="continuationSeparator" w:id="0">
    <w:p w:rsidR="00601CFA" w:rsidRDefault="00601CFA" w:rsidP="004C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66" w:rsidRDefault="001B29C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AFCDA3F" wp14:editId="014D8A24">
          <wp:simplePos x="0" y="0"/>
          <wp:positionH relativeFrom="column">
            <wp:posOffset>-43180</wp:posOffset>
          </wp:positionH>
          <wp:positionV relativeFrom="paragraph">
            <wp:posOffset>-306705</wp:posOffset>
          </wp:positionV>
          <wp:extent cx="436245" cy="436245"/>
          <wp:effectExtent l="0" t="0" r="1905" b="1905"/>
          <wp:wrapThrough wrapText="bothSides">
            <wp:wrapPolygon edited="0">
              <wp:start x="0" y="0"/>
              <wp:lineTo x="0" y="20751"/>
              <wp:lineTo x="20751" y="20751"/>
              <wp:lineTo x="20751" y="0"/>
              <wp:lineTo x="0" y="0"/>
            </wp:wrapPolygon>
          </wp:wrapThrough>
          <wp:docPr id="4" name="Picture 4" descr="E:\For Bill\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 Bill\But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8AF"/>
    <w:multiLevelType w:val="hybridMultilevel"/>
    <w:tmpl w:val="298436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F5B5283"/>
    <w:multiLevelType w:val="hybridMultilevel"/>
    <w:tmpl w:val="8B8AC156"/>
    <w:lvl w:ilvl="0" w:tplc="A6B2A1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B48"/>
    <w:multiLevelType w:val="hybridMultilevel"/>
    <w:tmpl w:val="0E30B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22CE2"/>
    <w:multiLevelType w:val="hybridMultilevel"/>
    <w:tmpl w:val="2CDC7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94927"/>
    <w:multiLevelType w:val="hybridMultilevel"/>
    <w:tmpl w:val="35A43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47C3"/>
    <w:multiLevelType w:val="hybridMultilevel"/>
    <w:tmpl w:val="B11E8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4759"/>
    <w:multiLevelType w:val="hybridMultilevel"/>
    <w:tmpl w:val="E24AF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85F"/>
    <w:multiLevelType w:val="hybridMultilevel"/>
    <w:tmpl w:val="F59E6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C4AA5"/>
    <w:multiLevelType w:val="hybridMultilevel"/>
    <w:tmpl w:val="CB147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37DA6"/>
    <w:multiLevelType w:val="hybridMultilevel"/>
    <w:tmpl w:val="1E6EB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C2D69"/>
    <w:multiLevelType w:val="hybridMultilevel"/>
    <w:tmpl w:val="A16665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56CF8"/>
    <w:multiLevelType w:val="hybridMultilevel"/>
    <w:tmpl w:val="7AEC2C96"/>
    <w:lvl w:ilvl="0" w:tplc="D70C8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5F39B3"/>
    <w:multiLevelType w:val="hybridMultilevel"/>
    <w:tmpl w:val="8848BF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6650A"/>
    <w:multiLevelType w:val="hybridMultilevel"/>
    <w:tmpl w:val="DC761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3ABC"/>
    <w:multiLevelType w:val="hybridMultilevel"/>
    <w:tmpl w:val="E53A90F0"/>
    <w:lvl w:ilvl="0" w:tplc="D786B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02211"/>
    <w:multiLevelType w:val="hybridMultilevel"/>
    <w:tmpl w:val="1B2816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C33761"/>
    <w:multiLevelType w:val="hybridMultilevel"/>
    <w:tmpl w:val="A40037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B4A3B"/>
    <w:multiLevelType w:val="hybridMultilevel"/>
    <w:tmpl w:val="E0A80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00F73"/>
    <w:multiLevelType w:val="hybridMultilevel"/>
    <w:tmpl w:val="C52A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EE39E7"/>
    <w:multiLevelType w:val="hybridMultilevel"/>
    <w:tmpl w:val="175C6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B5A35"/>
    <w:multiLevelType w:val="hybridMultilevel"/>
    <w:tmpl w:val="F45641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4D1A46"/>
    <w:multiLevelType w:val="hybridMultilevel"/>
    <w:tmpl w:val="A46674DA"/>
    <w:lvl w:ilvl="0" w:tplc="3DCC4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92225F"/>
    <w:multiLevelType w:val="hybridMultilevel"/>
    <w:tmpl w:val="AB101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8EA6141"/>
    <w:multiLevelType w:val="hybridMultilevel"/>
    <w:tmpl w:val="266A3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8A6883"/>
    <w:multiLevelType w:val="hybridMultilevel"/>
    <w:tmpl w:val="E2E64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C5843"/>
    <w:multiLevelType w:val="hybridMultilevel"/>
    <w:tmpl w:val="24FEA45A"/>
    <w:lvl w:ilvl="0" w:tplc="F3546F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C5D4E"/>
    <w:multiLevelType w:val="hybridMultilevel"/>
    <w:tmpl w:val="67A00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E5CEB"/>
    <w:multiLevelType w:val="hybridMultilevel"/>
    <w:tmpl w:val="F68886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8"/>
  </w:num>
  <w:num w:numId="5">
    <w:abstractNumId w:val="26"/>
  </w:num>
  <w:num w:numId="6">
    <w:abstractNumId w:val="20"/>
  </w:num>
  <w:num w:numId="7">
    <w:abstractNumId w:val="17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0"/>
  </w:num>
  <w:num w:numId="13">
    <w:abstractNumId w:val="7"/>
  </w:num>
  <w:num w:numId="14">
    <w:abstractNumId w:val="2"/>
  </w:num>
  <w:num w:numId="15">
    <w:abstractNumId w:val="24"/>
  </w:num>
  <w:num w:numId="16">
    <w:abstractNumId w:val="27"/>
  </w:num>
  <w:num w:numId="17">
    <w:abstractNumId w:val="12"/>
  </w:num>
  <w:num w:numId="18">
    <w:abstractNumId w:val="5"/>
  </w:num>
  <w:num w:numId="19">
    <w:abstractNumId w:val="4"/>
  </w:num>
  <w:num w:numId="20">
    <w:abstractNumId w:val="23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3"/>
  </w:num>
  <w:num w:numId="26">
    <w:abstractNumId w:val="6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66"/>
    <w:rsid w:val="000A3A95"/>
    <w:rsid w:val="000E5269"/>
    <w:rsid w:val="0016299F"/>
    <w:rsid w:val="00191A77"/>
    <w:rsid w:val="001B29C3"/>
    <w:rsid w:val="001C2363"/>
    <w:rsid w:val="001E43E4"/>
    <w:rsid w:val="002D1DB3"/>
    <w:rsid w:val="002E0810"/>
    <w:rsid w:val="002E7819"/>
    <w:rsid w:val="002F64E7"/>
    <w:rsid w:val="00351217"/>
    <w:rsid w:val="003913B7"/>
    <w:rsid w:val="003C183F"/>
    <w:rsid w:val="003D024C"/>
    <w:rsid w:val="003D32A2"/>
    <w:rsid w:val="00420CD0"/>
    <w:rsid w:val="00426A8E"/>
    <w:rsid w:val="004A554B"/>
    <w:rsid w:val="004C6866"/>
    <w:rsid w:val="00535CF0"/>
    <w:rsid w:val="00574C69"/>
    <w:rsid w:val="005B2A37"/>
    <w:rsid w:val="00601CFA"/>
    <w:rsid w:val="00602550"/>
    <w:rsid w:val="006250C8"/>
    <w:rsid w:val="0064519B"/>
    <w:rsid w:val="00696F5C"/>
    <w:rsid w:val="006C11C7"/>
    <w:rsid w:val="007027DE"/>
    <w:rsid w:val="0072735D"/>
    <w:rsid w:val="007A7440"/>
    <w:rsid w:val="007B69A1"/>
    <w:rsid w:val="008A14D8"/>
    <w:rsid w:val="009F5501"/>
    <w:rsid w:val="00A45E99"/>
    <w:rsid w:val="00A62A3A"/>
    <w:rsid w:val="00A85A70"/>
    <w:rsid w:val="00B5449E"/>
    <w:rsid w:val="00B87A3B"/>
    <w:rsid w:val="00BC7808"/>
    <w:rsid w:val="00C20983"/>
    <w:rsid w:val="00C7492A"/>
    <w:rsid w:val="00CA0804"/>
    <w:rsid w:val="00CE7EB4"/>
    <w:rsid w:val="00D042FD"/>
    <w:rsid w:val="00D93930"/>
    <w:rsid w:val="00E4082E"/>
    <w:rsid w:val="00E74E8F"/>
    <w:rsid w:val="00EE69AF"/>
    <w:rsid w:val="00F41330"/>
    <w:rsid w:val="00F56A1F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866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66"/>
  </w:style>
  <w:style w:type="paragraph" w:styleId="Footer">
    <w:name w:val="footer"/>
    <w:basedOn w:val="Normal"/>
    <w:link w:val="Foot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66"/>
  </w:style>
  <w:style w:type="paragraph" w:styleId="NoSpacing">
    <w:name w:val="No Spacing"/>
    <w:uiPriority w:val="1"/>
    <w:qFormat/>
    <w:rsid w:val="004C686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2D1D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866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66"/>
  </w:style>
  <w:style w:type="paragraph" w:styleId="Footer">
    <w:name w:val="footer"/>
    <w:basedOn w:val="Normal"/>
    <w:link w:val="Foot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66"/>
  </w:style>
  <w:style w:type="paragraph" w:styleId="NoSpacing">
    <w:name w:val="No Spacing"/>
    <w:uiPriority w:val="1"/>
    <w:qFormat/>
    <w:rsid w:val="004C686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2D1D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useholdproducts.nlm.nih.gov/cgi-bin/household/brands?tbl=chem&amp;id=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vetail.org.au/insight/modules/qh_detox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medlineplus/ency/article/000771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2015-03-03T14:25:00Z</dcterms:created>
  <dcterms:modified xsi:type="dcterms:W3CDTF">2015-06-03T19:25:00Z</dcterms:modified>
</cp:coreProperties>
</file>