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52" w:type="dxa"/>
        <w:tblLayout w:type="fixed"/>
        <w:tblLook w:val="04A0" w:firstRow="1" w:lastRow="0" w:firstColumn="1" w:lastColumn="0" w:noHBand="0" w:noVBand="1"/>
      </w:tblPr>
      <w:tblGrid>
        <w:gridCol w:w="1809"/>
        <w:gridCol w:w="9443"/>
      </w:tblGrid>
      <w:tr w:rsidR="00FC3280" w:rsidRPr="002D2A7A" w:rsidTr="00BA5666">
        <w:tc>
          <w:tcPr>
            <w:tcW w:w="11252" w:type="dxa"/>
            <w:gridSpan w:val="2"/>
            <w:shd w:val="clear" w:color="auto" w:fill="17365D" w:themeFill="text2" w:themeFillShade="BF"/>
          </w:tcPr>
          <w:p w:rsidR="00FC3280" w:rsidRDefault="00FC3280" w:rsidP="00FC3280">
            <w:pPr>
              <w:jc w:val="center"/>
              <w:rPr>
                <w:b/>
              </w:rPr>
            </w:pPr>
            <w:r w:rsidRPr="00FC3280">
              <w:rPr>
                <w:rFonts w:ascii="Trebuchet MS" w:hAnsi="Trebuchet MS"/>
                <w:b/>
                <w:sz w:val="40"/>
                <w:szCs w:val="40"/>
              </w:rPr>
              <w:t>Amphetamines/ Methamphetamine</w:t>
            </w:r>
          </w:p>
        </w:tc>
      </w:tr>
      <w:tr w:rsidR="00FC3280" w:rsidRPr="002D2A7A" w:rsidTr="00BA5666">
        <w:tc>
          <w:tcPr>
            <w:tcW w:w="11252" w:type="dxa"/>
            <w:gridSpan w:val="2"/>
            <w:shd w:val="clear" w:color="auto" w:fill="FFFFFF" w:themeFill="background1"/>
          </w:tcPr>
          <w:p w:rsidR="00FC3280" w:rsidRPr="002D2A7A" w:rsidRDefault="00FC3280" w:rsidP="003A337F">
            <w:pPr>
              <w:rPr>
                <w:b/>
              </w:rPr>
            </w:pPr>
          </w:p>
          <w:p w:rsidR="00FC3280" w:rsidRPr="00FC3280" w:rsidRDefault="00FC3280" w:rsidP="00FC3280">
            <w:pPr>
              <w:pStyle w:val="ListParagraph"/>
              <w:numPr>
                <w:ilvl w:val="0"/>
                <w:numId w:val="23"/>
              </w:numPr>
              <w:rPr>
                <w:vertAlign w:val="superscript"/>
              </w:rPr>
            </w:pPr>
            <w:r w:rsidRPr="00FC3280">
              <w:rPr>
                <w:b/>
              </w:rPr>
              <w:t>Amphetamine Common Names</w:t>
            </w:r>
            <w:r>
              <w:t xml:space="preserve">: </w:t>
            </w:r>
            <w:r w:rsidR="006D1EEC">
              <w:t>Bennies, hearts, pep-pill</w:t>
            </w:r>
            <w:r w:rsidRPr="002D2A7A">
              <w:t xml:space="preserve">s, </w:t>
            </w:r>
            <w:proofErr w:type="spellStart"/>
            <w:r w:rsidRPr="002D2A7A">
              <w:t>dex</w:t>
            </w:r>
            <w:proofErr w:type="spellEnd"/>
            <w:r w:rsidRPr="002D2A7A">
              <w:t xml:space="preserve">, </w:t>
            </w:r>
            <w:proofErr w:type="spellStart"/>
            <w:r w:rsidRPr="002D2A7A">
              <w:t>beabs</w:t>
            </w:r>
            <w:proofErr w:type="spellEnd"/>
            <w:r w:rsidRPr="002D2A7A">
              <w:t xml:space="preserve">, </w:t>
            </w:r>
            <w:proofErr w:type="spellStart"/>
            <w:r w:rsidRPr="002D2A7A">
              <w:t>benn</w:t>
            </w:r>
            <w:proofErr w:type="spellEnd"/>
            <w:r w:rsidRPr="002D2A7A">
              <w:t xml:space="preserve">, truck-drivers, ice, jolly beans, black beauties, crank, pink football, </w:t>
            </w:r>
            <w:proofErr w:type="spellStart"/>
            <w:r w:rsidRPr="002D2A7A">
              <w:t>dexies</w:t>
            </w:r>
            <w:proofErr w:type="spellEnd"/>
            <w:r w:rsidRPr="002D2A7A">
              <w:t>, crosses, hearts, LA turnaround)</w:t>
            </w:r>
            <w:r w:rsidRPr="00FC3280">
              <w:rPr>
                <w:vertAlign w:val="superscript"/>
              </w:rPr>
              <w:t>3</w:t>
            </w:r>
          </w:p>
          <w:p w:rsidR="00FC3280" w:rsidRDefault="00FC3280" w:rsidP="004230EA">
            <w:pPr>
              <w:rPr>
                <w:vertAlign w:val="superscript"/>
              </w:rPr>
            </w:pPr>
          </w:p>
          <w:p w:rsidR="00FC3280" w:rsidRPr="002D2A7A" w:rsidRDefault="00625527" w:rsidP="00FC3280">
            <w:pPr>
              <w:pStyle w:val="ListParagraph"/>
              <w:numPr>
                <w:ilvl w:val="0"/>
                <w:numId w:val="23"/>
              </w:numPr>
            </w:pPr>
            <w:r w:rsidRPr="002D2A7A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56C927F2" wp14:editId="7E0E4587">
                  <wp:simplePos x="0" y="0"/>
                  <wp:positionH relativeFrom="column">
                    <wp:posOffset>4540885</wp:posOffset>
                  </wp:positionH>
                  <wp:positionV relativeFrom="paragraph">
                    <wp:posOffset>-625475</wp:posOffset>
                  </wp:positionV>
                  <wp:extent cx="1104900" cy="850265"/>
                  <wp:effectExtent l="0" t="0" r="0" b="6985"/>
                  <wp:wrapSquare wrapText="bothSides"/>
                  <wp:docPr id="2" name="Picture 2" descr="File:Méthamphétamine pur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Méthamphétamine pur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280">
              <w:rPr>
                <w:noProof/>
                <w:color w:val="0000FF"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048E4B5A" wp14:editId="61ED602F">
                  <wp:simplePos x="0" y="0"/>
                  <wp:positionH relativeFrom="column">
                    <wp:posOffset>5770880</wp:posOffset>
                  </wp:positionH>
                  <wp:positionV relativeFrom="paragraph">
                    <wp:posOffset>-624840</wp:posOffset>
                  </wp:positionV>
                  <wp:extent cx="850265" cy="850265"/>
                  <wp:effectExtent l="0" t="0" r="6985" b="6985"/>
                  <wp:wrapSquare wrapText="bothSides"/>
                  <wp:docPr id="1" name="Picture 1" descr="File:Blue Crystal Meth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Blue Crystal Meth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280">
              <w:rPr>
                <w:b/>
              </w:rPr>
              <w:t xml:space="preserve">Methamphetamines Common Names: </w:t>
            </w:r>
            <w:r w:rsidR="00FC3280" w:rsidRPr="002D2A7A">
              <w:t xml:space="preserve">Crystal Meth, speed, meth, uppers, crystal, shit, moth, crank, crosses, </w:t>
            </w:r>
            <w:proofErr w:type="spellStart"/>
            <w:r w:rsidR="00FC3280" w:rsidRPr="002D2A7A">
              <w:t>methlies</w:t>
            </w:r>
            <w:proofErr w:type="spellEnd"/>
            <w:r w:rsidR="00FC3280" w:rsidRPr="002D2A7A">
              <w:t xml:space="preserve"> quick, jib, fire, chalk, glass, go fast, tweak, yaba</w:t>
            </w:r>
            <w:r w:rsidR="00FC3280" w:rsidRPr="00FC3280">
              <w:rPr>
                <w:vertAlign w:val="superscript"/>
              </w:rPr>
              <w:t>3</w:t>
            </w:r>
          </w:p>
          <w:p w:rsidR="00FC3280" w:rsidRPr="002D2A7A" w:rsidRDefault="00FC3280" w:rsidP="003F7018">
            <w:pPr>
              <w:rPr>
                <w:b/>
              </w:rPr>
            </w:pPr>
          </w:p>
        </w:tc>
      </w:tr>
      <w:tr w:rsidR="002D2A7A" w:rsidRPr="002D2A7A" w:rsidTr="00BA5666">
        <w:tc>
          <w:tcPr>
            <w:tcW w:w="1809" w:type="dxa"/>
            <w:shd w:val="clear" w:color="auto" w:fill="17365D" w:themeFill="text2" w:themeFillShade="BF"/>
          </w:tcPr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FC3280" w:rsidRDefault="00FC328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1D5B96" w:rsidRPr="00FC3280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Characteristics</w:t>
            </w:r>
          </w:p>
          <w:p w:rsidR="004A64A4" w:rsidRPr="00FC3280" w:rsidRDefault="00FC3280" w:rsidP="003956C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3F560E" w:rsidRPr="00FC3280">
              <w:rPr>
                <w:rFonts w:ascii="Trebuchet MS" w:hAnsi="Trebuchet MS"/>
              </w:rPr>
              <w:t>S</w:t>
            </w:r>
            <w:r w:rsidR="004230EA" w:rsidRPr="00FC3280">
              <w:rPr>
                <w:rFonts w:ascii="Trebuchet MS" w:hAnsi="Trebuchet MS"/>
              </w:rPr>
              <w:t>timulant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9443" w:type="dxa"/>
            <w:tcBorders>
              <w:bottom w:val="single" w:sz="4" w:space="0" w:color="FFFFFF" w:themeColor="background1"/>
            </w:tcBorders>
          </w:tcPr>
          <w:p w:rsidR="001D5B96" w:rsidRPr="002D2A7A" w:rsidRDefault="00AD5595" w:rsidP="003A337F">
            <w:pPr>
              <w:rPr>
                <w:b/>
              </w:rPr>
            </w:pPr>
            <w:r w:rsidRPr="002D2A7A">
              <w:rPr>
                <w:b/>
              </w:rPr>
              <w:t>Amphetamines</w:t>
            </w:r>
          </w:p>
          <w:p w:rsidR="00AD5595" w:rsidRPr="002D2A7A" w:rsidRDefault="00AD5595" w:rsidP="00AD5595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2D2A7A">
              <w:t xml:space="preserve">Cause the release of amines </w:t>
            </w:r>
            <w:r w:rsidR="005B66D8" w:rsidRPr="002D2A7A">
              <w:t xml:space="preserve">dopamine, norepinephrine and serotonin </w:t>
            </w:r>
            <w:r w:rsidRPr="002D2A7A">
              <w:t>(</w:t>
            </w:r>
            <w:r w:rsidR="005B66D8">
              <w:t>DA</w:t>
            </w:r>
            <w:r w:rsidRPr="002D2A7A">
              <w:t xml:space="preserve">, </w:t>
            </w:r>
            <w:r w:rsidR="005B66D8">
              <w:t>NE</w:t>
            </w:r>
            <w:r w:rsidRPr="002D2A7A">
              <w:t xml:space="preserve">, </w:t>
            </w:r>
            <w:r w:rsidR="005B66D8">
              <w:t>5-HT</w:t>
            </w:r>
            <w:r w:rsidRPr="002D2A7A">
              <w:t>) from central and peripheral neurons</w:t>
            </w:r>
            <w:r w:rsidR="007E7D87" w:rsidRPr="002D2A7A">
              <w:rPr>
                <w:sz w:val="24"/>
                <w:vertAlign w:val="superscript"/>
              </w:rPr>
              <w:t>3</w:t>
            </w:r>
          </w:p>
          <w:p w:rsidR="00AD5595" w:rsidRPr="002D2A7A" w:rsidRDefault="00AD5595" w:rsidP="00AD5595">
            <w:pPr>
              <w:pStyle w:val="ListParagraph"/>
              <w:numPr>
                <w:ilvl w:val="0"/>
                <w:numId w:val="15"/>
              </w:numPr>
            </w:pPr>
            <w:r w:rsidRPr="002D2A7A">
              <w:t>Onset of action is 30 minutes after oral ingestion</w:t>
            </w:r>
            <w:r w:rsidR="007E7D87" w:rsidRPr="002D2A7A">
              <w:rPr>
                <w:vertAlign w:val="superscript"/>
              </w:rPr>
              <w:t>3</w:t>
            </w:r>
          </w:p>
          <w:p w:rsidR="00AD5595" w:rsidRPr="002D2A7A" w:rsidRDefault="00AD5595" w:rsidP="00AD5595">
            <w:pPr>
              <w:pStyle w:val="ListParagraph"/>
              <w:numPr>
                <w:ilvl w:val="0"/>
                <w:numId w:val="15"/>
              </w:numPr>
            </w:pPr>
            <w:r w:rsidRPr="002D2A7A">
              <w:t>Tolerance and psychic dependence occurs with chronic use</w:t>
            </w:r>
            <w:r w:rsidR="007E7D87" w:rsidRPr="002D2A7A">
              <w:rPr>
                <w:sz w:val="24"/>
                <w:vertAlign w:val="superscript"/>
              </w:rPr>
              <w:t>3</w:t>
            </w:r>
            <w:r w:rsidRPr="002D2A7A">
              <w:t xml:space="preserve"> </w:t>
            </w:r>
          </w:p>
          <w:p w:rsidR="007E7D87" w:rsidRPr="002D2A7A" w:rsidRDefault="007E7D87" w:rsidP="00AD5595">
            <w:pPr>
              <w:pStyle w:val="ListParagraph"/>
              <w:numPr>
                <w:ilvl w:val="0"/>
                <w:numId w:val="15"/>
              </w:numPr>
            </w:pPr>
            <w:r w:rsidRPr="002D2A7A">
              <w:t>Usual dose is 10 to 30mg up to 2000mg/d for tolerant individuals</w:t>
            </w:r>
            <w:r w:rsidRPr="002D2A7A">
              <w:rPr>
                <w:vertAlign w:val="superscript"/>
              </w:rPr>
              <w:t>5</w:t>
            </w:r>
          </w:p>
          <w:p w:rsidR="007E7D87" w:rsidRPr="002D2A7A" w:rsidRDefault="007E7D87" w:rsidP="00AD5595">
            <w:pPr>
              <w:pStyle w:val="ListParagraph"/>
              <w:numPr>
                <w:ilvl w:val="0"/>
                <w:numId w:val="15"/>
              </w:numPr>
            </w:pPr>
            <w:r w:rsidRPr="002D2A7A">
              <w:t>The half-life is very variable and depends on the urinary pH: it varies between 7 and 34 hours</w:t>
            </w:r>
            <w:r w:rsidRPr="002D2A7A">
              <w:rPr>
                <w:vertAlign w:val="superscript"/>
              </w:rPr>
              <w:t>5</w:t>
            </w:r>
          </w:p>
          <w:p w:rsidR="007E7D87" w:rsidRPr="002D2A7A" w:rsidRDefault="007E7D87" w:rsidP="00AD5595">
            <w:pPr>
              <w:pStyle w:val="ListParagraph"/>
              <w:numPr>
                <w:ilvl w:val="0"/>
                <w:numId w:val="15"/>
              </w:numPr>
            </w:pPr>
            <w:r w:rsidRPr="002D2A7A">
              <w:t>Amphetamines are usually detected in the urine from 1 to 3 days to a maximum of almost 9 days</w:t>
            </w:r>
            <w:r w:rsidRPr="002D2A7A">
              <w:rPr>
                <w:vertAlign w:val="superscript"/>
              </w:rPr>
              <w:t>5</w:t>
            </w:r>
          </w:p>
          <w:p w:rsidR="007E7D87" w:rsidRPr="002D2A7A" w:rsidRDefault="007E7D87" w:rsidP="007E7D87">
            <w:pPr>
              <w:rPr>
                <w:b/>
              </w:rPr>
            </w:pPr>
            <w:r w:rsidRPr="002D2A7A">
              <w:rPr>
                <w:b/>
              </w:rPr>
              <w:t xml:space="preserve">Methamphetamines </w:t>
            </w:r>
          </w:p>
          <w:p w:rsidR="007E7D87" w:rsidRPr="002D2A7A" w:rsidRDefault="007E7D87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>Synthetic drug chemically related to amphetamine and ephedrine that can be manufactured in “home laboratories” from common household items</w:t>
            </w:r>
            <w:r w:rsidRPr="002D2A7A">
              <w:rPr>
                <w:vertAlign w:val="superscript"/>
              </w:rPr>
              <w:t>3</w:t>
            </w:r>
          </w:p>
          <w:p w:rsidR="007E7D87" w:rsidRPr="002D2A7A" w:rsidRDefault="007E7D87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 xml:space="preserve">It enhances the release of </w:t>
            </w:r>
            <w:r w:rsidR="005B66D8">
              <w:t>DA</w:t>
            </w:r>
            <w:r w:rsidR="005B66D8" w:rsidRPr="002D2A7A">
              <w:t xml:space="preserve">, </w:t>
            </w:r>
            <w:r w:rsidR="005B66D8">
              <w:t>NE</w:t>
            </w:r>
            <w:r w:rsidR="005B66D8" w:rsidRPr="002D2A7A">
              <w:t xml:space="preserve">, </w:t>
            </w:r>
            <w:r w:rsidR="005B66D8">
              <w:t>5-HT</w:t>
            </w:r>
            <w:r w:rsidR="005B66D8" w:rsidRPr="002D2A7A">
              <w:rPr>
                <w:vertAlign w:val="superscript"/>
              </w:rPr>
              <w:t xml:space="preserve"> </w:t>
            </w:r>
            <w:r w:rsidRPr="002D2A7A">
              <w:rPr>
                <w:vertAlign w:val="superscript"/>
              </w:rPr>
              <w:t>3</w:t>
            </w:r>
          </w:p>
          <w:p w:rsidR="00E0024B" w:rsidRPr="002D2A7A" w:rsidRDefault="00E0024B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>Crystal “ice” refers to methamphetamine washed in a solvent to remove impurities- smoked in a glass pipe, “chased” on aluminum foil</w:t>
            </w:r>
            <w:r w:rsidR="006D1EEC">
              <w:t>,</w:t>
            </w:r>
            <w:r w:rsidRPr="002D2A7A">
              <w:t xml:space="preserve"> or injected</w:t>
            </w:r>
          </w:p>
          <w:p w:rsidR="007E7D87" w:rsidRPr="002D2A7A" w:rsidRDefault="007E7D87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>Onset of action is very rapid and can last 10-12 hrs</w:t>
            </w:r>
          </w:p>
          <w:p w:rsidR="007E7D87" w:rsidRPr="002D2A7A" w:rsidRDefault="007E7D87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>A “run” refers to the use of the drug several times a day over a period of several days</w:t>
            </w:r>
            <w:r w:rsidRPr="002D2A7A">
              <w:rPr>
                <w:vertAlign w:val="superscript"/>
              </w:rPr>
              <w:t>3</w:t>
            </w:r>
          </w:p>
          <w:p w:rsidR="007E7D87" w:rsidRPr="002D2A7A" w:rsidRDefault="007E7D87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>Usual dose is 5 to 10mg, but can be much higher for individuals who are tolerant.</w:t>
            </w:r>
            <w:r w:rsidR="00E0024B" w:rsidRPr="002D2A7A">
              <w:rPr>
                <w:vertAlign w:val="superscript"/>
              </w:rPr>
              <w:t>5</w:t>
            </w:r>
          </w:p>
          <w:p w:rsidR="007E7D87" w:rsidRPr="002D2A7A" w:rsidRDefault="00E0024B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>Half-life varies between 10 and 30 hours</w:t>
            </w:r>
          </w:p>
          <w:p w:rsidR="00E0024B" w:rsidRPr="002D2A7A" w:rsidRDefault="00E0024B" w:rsidP="007E7D8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D2A7A">
              <w:t>22mg of “ice” can be detected in the urine for up to 60 hours</w:t>
            </w:r>
            <w:r w:rsidRPr="002D2A7A">
              <w:rPr>
                <w:vertAlign w:val="superscript"/>
              </w:rPr>
              <w:t>5</w:t>
            </w:r>
          </w:p>
          <w:p w:rsidR="00AD5595" w:rsidRPr="002D2A7A" w:rsidRDefault="00AD5595" w:rsidP="003A337F"/>
        </w:tc>
      </w:tr>
      <w:tr w:rsidR="002D2A7A" w:rsidRPr="002D2A7A" w:rsidTr="00BA5666">
        <w:trPr>
          <w:trHeight w:val="3145"/>
        </w:trPr>
        <w:tc>
          <w:tcPr>
            <w:tcW w:w="1809" w:type="dxa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1D5B96" w:rsidRDefault="001D5B96" w:rsidP="005B66D8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 xml:space="preserve">Presentation during </w:t>
            </w:r>
            <w:r w:rsidR="00A156FA" w:rsidRPr="00FC3280">
              <w:rPr>
                <w:rFonts w:ascii="Trebuchet MS" w:hAnsi="Trebuchet MS"/>
                <w:b/>
              </w:rPr>
              <w:t>intoxication</w:t>
            </w:r>
          </w:p>
          <w:p w:rsidR="005B66D8" w:rsidRDefault="005B66D8" w:rsidP="005B66D8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5B66D8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Pr="00FC3280" w:rsidRDefault="005B66D8" w:rsidP="00455DE5">
            <w:pPr>
              <w:rPr>
                <w:rFonts w:ascii="Trebuchet MS" w:hAnsi="Trebuchet MS"/>
                <w:b/>
              </w:rPr>
            </w:pPr>
          </w:p>
        </w:tc>
        <w:tc>
          <w:tcPr>
            <w:tcW w:w="9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56CB" w:rsidRPr="00B82344" w:rsidRDefault="00051B63" w:rsidP="003956CB">
            <w:pPr>
              <w:rPr>
                <w:b/>
              </w:rPr>
            </w:pPr>
            <w:r>
              <w:rPr>
                <w:b/>
              </w:rPr>
              <w:t>Common signs and s</w:t>
            </w:r>
            <w:r w:rsidR="003956CB" w:rsidRPr="00B82344">
              <w:rPr>
                <w:b/>
              </w:rPr>
              <w:t xml:space="preserve">ymptoms of </w:t>
            </w:r>
            <w:r w:rsidR="003956CB">
              <w:rPr>
                <w:b/>
              </w:rPr>
              <w:t>intoxication</w:t>
            </w:r>
            <w:r>
              <w:rPr>
                <w:b/>
              </w:rPr>
              <w:t xml:space="preserve"> may include</w:t>
            </w:r>
            <w:r w:rsidR="003956CB" w:rsidRPr="00B82344">
              <w:rPr>
                <w:b/>
              </w:rPr>
              <w:t xml:space="preserve"> </w:t>
            </w:r>
            <w:r w:rsidR="003956CB" w:rsidRPr="00B82344">
              <w:rPr>
                <w:b/>
                <w:vertAlign w:val="superscript"/>
              </w:rPr>
              <w:t>2,3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2853"/>
              <w:gridCol w:w="2853"/>
            </w:tblGrid>
            <w:tr w:rsidR="003956CB" w:rsidTr="003956CB">
              <w:tc>
                <w:tcPr>
                  <w:tcW w:w="2852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Constricted pupils</w:t>
                  </w:r>
                </w:p>
              </w:tc>
              <w:tc>
                <w:tcPr>
                  <w:tcW w:w="2853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Sweating</w:t>
                  </w:r>
                </w:p>
              </w:tc>
              <w:tc>
                <w:tcPr>
                  <w:tcW w:w="2853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Nausea</w:t>
                  </w:r>
                </w:p>
              </w:tc>
            </w:tr>
            <w:tr w:rsidR="003956CB" w:rsidTr="003956CB">
              <w:tc>
                <w:tcPr>
                  <w:tcW w:w="2852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Euphoria</w:t>
                  </w:r>
                </w:p>
              </w:tc>
              <w:tc>
                <w:tcPr>
                  <w:tcW w:w="2853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Anxiety</w:t>
                  </w:r>
                </w:p>
              </w:tc>
              <w:tc>
                <w:tcPr>
                  <w:tcW w:w="2853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Watery eyes</w:t>
                  </w:r>
                </w:p>
              </w:tc>
            </w:tr>
            <w:tr w:rsidR="003956CB" w:rsidTr="003956CB">
              <w:tc>
                <w:tcPr>
                  <w:tcW w:w="2852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Excitation</w:t>
                  </w:r>
                </w:p>
              </w:tc>
              <w:tc>
                <w:tcPr>
                  <w:tcW w:w="2853" w:type="dxa"/>
                </w:tcPr>
                <w:p w:rsidR="003956CB" w:rsidRDefault="003956CB" w:rsidP="00F06C62">
                  <w:r w:rsidRPr="00455DE5">
                    <w:rPr>
                      <w:lang w:val="en-US"/>
                    </w:rPr>
                    <w:t>Alertness</w:t>
                  </w:r>
                </w:p>
              </w:tc>
              <w:tc>
                <w:tcPr>
                  <w:tcW w:w="2853" w:type="dxa"/>
                </w:tcPr>
                <w:p w:rsidR="003956CB" w:rsidRDefault="003956CB" w:rsidP="00F06C62">
                  <w:r>
                    <w:t>Hallucinations</w:t>
                  </w:r>
                </w:p>
              </w:tc>
            </w:tr>
            <w:tr w:rsidR="003956CB" w:rsidTr="003956CB">
              <w:tc>
                <w:tcPr>
                  <w:tcW w:w="2852" w:type="dxa"/>
                </w:tcPr>
                <w:p w:rsidR="003956CB" w:rsidRDefault="003956CB" w:rsidP="00F06C62">
                  <w:r w:rsidRPr="002D2A7A">
                    <w:t>Paranoia</w:t>
                  </w:r>
                </w:p>
              </w:tc>
              <w:tc>
                <w:tcPr>
                  <w:tcW w:w="2853" w:type="dxa"/>
                </w:tcPr>
                <w:p w:rsidR="003956CB" w:rsidRDefault="003956CB" w:rsidP="00F06C62">
                  <w:pPr>
                    <w:pStyle w:val="ListParagraph"/>
                    <w:ind w:left="360"/>
                  </w:pPr>
                </w:p>
              </w:tc>
              <w:tc>
                <w:tcPr>
                  <w:tcW w:w="2853" w:type="dxa"/>
                </w:tcPr>
                <w:p w:rsidR="003956CB" w:rsidRDefault="003956CB" w:rsidP="00F06C62">
                  <w:pPr>
                    <w:pStyle w:val="ListParagraph"/>
                    <w:ind w:left="360"/>
                  </w:pPr>
                </w:p>
              </w:tc>
            </w:tr>
          </w:tbl>
          <w:p w:rsidR="00766FBA" w:rsidRPr="00F06C62" w:rsidRDefault="00051B63" w:rsidP="003A337F">
            <w:r>
              <w:rPr>
                <w:b/>
              </w:rPr>
              <w:t>Extreme intoxication signs and symptoms may include</w:t>
            </w:r>
            <w:r w:rsidR="00766FBA" w:rsidRPr="00B82344">
              <w:rPr>
                <w:b/>
              </w:rPr>
              <w:t xml:space="preserve"> </w:t>
            </w:r>
            <w:r w:rsidR="00766FBA" w:rsidRPr="00B82344">
              <w:rPr>
                <w:b/>
                <w:vertAlign w:val="superscript"/>
              </w:rPr>
              <w:t>2</w:t>
            </w:r>
            <w:r w:rsidR="009D3FF8" w:rsidRPr="00B82344">
              <w:rPr>
                <w:b/>
                <w:vertAlign w:val="superscript"/>
              </w:rPr>
              <w:t>,3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6"/>
              <w:gridCol w:w="2640"/>
            </w:tblGrid>
            <w:tr w:rsidR="00F06C62" w:rsidTr="00BA5666">
              <w:trPr>
                <w:trHeight w:val="236"/>
              </w:trPr>
              <w:tc>
                <w:tcPr>
                  <w:tcW w:w="4486" w:type="dxa"/>
                </w:tcPr>
                <w:p w:rsidR="00F06C62" w:rsidRDefault="00F06C62" w:rsidP="00F06C62">
                  <w:r>
                    <w:t xml:space="preserve">Aspiration due to depressed </w:t>
                  </w:r>
                  <w:r w:rsidRPr="002D2A7A">
                    <w:t>consciousness</w:t>
                  </w:r>
                </w:p>
              </w:tc>
              <w:tc>
                <w:tcPr>
                  <w:tcW w:w="2640" w:type="dxa"/>
                </w:tcPr>
                <w:p w:rsidR="00F06C62" w:rsidRDefault="00F06C62" w:rsidP="00F06C62">
                  <w:r>
                    <w:t>H</w:t>
                  </w:r>
                  <w:r w:rsidRPr="002D2A7A">
                    <w:t>allucinations</w:t>
                  </w:r>
                </w:p>
              </w:tc>
            </w:tr>
            <w:tr w:rsidR="00F06C62" w:rsidTr="00BA5666">
              <w:trPr>
                <w:trHeight w:val="239"/>
              </w:trPr>
              <w:tc>
                <w:tcPr>
                  <w:tcW w:w="4486" w:type="dxa"/>
                </w:tcPr>
                <w:p w:rsidR="00F06C62" w:rsidRDefault="00F06C62" w:rsidP="00F06C62">
                  <w:r>
                    <w:t>C</w:t>
                  </w:r>
                  <w:r w:rsidRPr="002D2A7A">
                    <w:t>onvulsions</w:t>
                  </w:r>
                </w:p>
                <w:p w:rsidR="00F06C62" w:rsidRDefault="00F06C62" w:rsidP="00F06C62">
                  <w:r>
                    <w:t>I</w:t>
                  </w:r>
                  <w:r w:rsidRPr="002D2A7A">
                    <w:t>ncreased body temperature</w:t>
                  </w:r>
                </w:p>
                <w:p w:rsidR="00F06C62" w:rsidRDefault="00F06C62" w:rsidP="00F06C62">
                  <w:r>
                    <w:t>P</w:t>
                  </w:r>
                  <w:r w:rsidRPr="002D2A7A">
                    <w:t>ossible death</w:t>
                  </w:r>
                </w:p>
                <w:p w:rsidR="00F06C62" w:rsidRDefault="00F06C62" w:rsidP="00F06C62"/>
              </w:tc>
              <w:tc>
                <w:tcPr>
                  <w:tcW w:w="2640" w:type="dxa"/>
                </w:tcPr>
                <w:p w:rsidR="00F06C62" w:rsidRDefault="00F06C62" w:rsidP="00F06C62">
                  <w:r>
                    <w:t>Agitation</w:t>
                  </w:r>
                </w:p>
                <w:p w:rsidR="00F06C62" w:rsidRDefault="00F06C62" w:rsidP="00F06C62">
                  <w:r>
                    <w:t>Stroke</w:t>
                  </w:r>
                </w:p>
                <w:p w:rsidR="00F06C62" w:rsidRDefault="00F06C62" w:rsidP="00F06C62"/>
              </w:tc>
            </w:tr>
          </w:tbl>
          <w:p w:rsidR="00766FBA" w:rsidRPr="002D2A7A" w:rsidRDefault="00766FBA" w:rsidP="003956CB">
            <w:pPr>
              <w:pStyle w:val="ListParagraph"/>
              <w:ind w:left="770"/>
            </w:pPr>
          </w:p>
        </w:tc>
      </w:tr>
      <w:tr w:rsidR="002D2A7A" w:rsidRPr="002D2A7A" w:rsidTr="00BA5666">
        <w:tc>
          <w:tcPr>
            <w:tcW w:w="1809" w:type="dxa"/>
            <w:shd w:val="clear" w:color="auto" w:fill="17365D" w:themeFill="text2" w:themeFillShade="BF"/>
          </w:tcPr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B82344" w:rsidRPr="00FC3280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 xml:space="preserve">Monitoring and </w:t>
            </w:r>
            <w:r w:rsidR="00B82344" w:rsidRPr="00FC3280">
              <w:rPr>
                <w:rFonts w:ascii="Trebuchet MS" w:hAnsi="Trebuchet MS"/>
                <w:b/>
              </w:rPr>
              <w:t>Interventions</w:t>
            </w:r>
          </w:p>
          <w:p w:rsidR="001D5B96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during intoxication</w:t>
            </w:r>
          </w:p>
          <w:p w:rsidR="006D1EEC" w:rsidRDefault="006D1EEC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6D1EEC" w:rsidRDefault="006D1EEC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6D1EEC" w:rsidRDefault="006D1EEC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6D1EEC" w:rsidRDefault="006D1EEC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Default="008D71A3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6D1EEC" w:rsidRPr="00FC3280" w:rsidRDefault="006D1EEC" w:rsidP="006D1EEC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Monitoring and Interventions</w:t>
            </w:r>
          </w:p>
          <w:p w:rsidR="006D1EEC" w:rsidRDefault="006D1EEC" w:rsidP="006D1EEC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during intoxication</w:t>
            </w:r>
            <w:r>
              <w:rPr>
                <w:rFonts w:ascii="Trebuchet MS" w:hAnsi="Trebuchet MS"/>
                <w:b/>
              </w:rPr>
              <w:t xml:space="preserve"> (</w:t>
            </w:r>
            <w:proofErr w:type="spellStart"/>
            <w:r>
              <w:rPr>
                <w:rFonts w:ascii="Trebuchet MS" w:hAnsi="Trebuchet MS"/>
                <w:b/>
              </w:rPr>
              <w:t>con’t</w:t>
            </w:r>
            <w:proofErr w:type="spellEnd"/>
            <w:r>
              <w:rPr>
                <w:rFonts w:ascii="Trebuchet MS" w:hAnsi="Trebuchet MS"/>
                <w:b/>
              </w:rPr>
              <w:t>)</w:t>
            </w:r>
          </w:p>
          <w:p w:rsidR="008D71A3" w:rsidRDefault="008D71A3" w:rsidP="006D1EEC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Pr="00FC3280" w:rsidRDefault="008D71A3" w:rsidP="006D1EEC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443" w:type="dxa"/>
            <w:tcBorders>
              <w:top w:val="single" w:sz="4" w:space="0" w:color="FFFFFF" w:themeColor="background1"/>
            </w:tcBorders>
          </w:tcPr>
          <w:p w:rsidR="00B967E3" w:rsidRDefault="00B967E3" w:rsidP="00C15966">
            <w:pPr>
              <w:rPr>
                <w:b/>
                <w:vertAlign w:val="superscript"/>
              </w:rPr>
            </w:pPr>
            <w:r>
              <w:rPr>
                <w:b/>
              </w:rPr>
              <w:lastRenderedPageBreak/>
              <w:t xml:space="preserve">Goal </w:t>
            </w:r>
            <w:r w:rsidRPr="00B967E3">
              <w:rPr>
                <w:b/>
                <w:vertAlign w:val="superscript"/>
              </w:rPr>
              <w:t>10</w:t>
            </w:r>
          </w:p>
          <w:p w:rsidR="00B967E3" w:rsidRPr="00B967E3" w:rsidRDefault="00B967E3" w:rsidP="00B967E3">
            <w:pPr>
              <w:pStyle w:val="ListParagraph"/>
              <w:numPr>
                <w:ilvl w:val="0"/>
                <w:numId w:val="37"/>
              </w:numPr>
            </w:pPr>
            <w:r w:rsidRPr="00B967E3">
              <w:t>Reduce risk of injury</w:t>
            </w:r>
          </w:p>
          <w:p w:rsidR="00B967E3" w:rsidRDefault="00B967E3" w:rsidP="00C15966">
            <w:pPr>
              <w:rPr>
                <w:b/>
              </w:rPr>
            </w:pPr>
          </w:p>
          <w:p w:rsidR="001D5B96" w:rsidRDefault="00C15966" w:rsidP="00C15966">
            <w:pPr>
              <w:rPr>
                <w:b/>
                <w:vertAlign w:val="superscript"/>
              </w:rPr>
            </w:pPr>
            <w:r w:rsidRPr="00B82344">
              <w:rPr>
                <w:b/>
              </w:rPr>
              <w:t>Monitor</w:t>
            </w:r>
            <w:r w:rsidR="003956CB" w:rsidRPr="00B82344">
              <w:rPr>
                <w:b/>
                <w:vertAlign w:val="superscript"/>
              </w:rPr>
              <w:t>3</w:t>
            </w:r>
            <w:r w:rsidR="00BA5666">
              <w:rPr>
                <w:b/>
                <w:vertAlign w:val="superscript"/>
              </w:rPr>
              <w:t>,10</w:t>
            </w:r>
          </w:p>
          <w:p w:rsidR="00BA5666" w:rsidRPr="00BA5666" w:rsidRDefault="00BA5666" w:rsidP="00BA5666">
            <w:pPr>
              <w:pStyle w:val="ListParagraph"/>
              <w:numPr>
                <w:ilvl w:val="0"/>
                <w:numId w:val="36"/>
              </w:numPr>
            </w:pPr>
            <w:r w:rsidRPr="00BA5666">
              <w:t>Assess level of disorientation and if possible time of last ingestion and amount consumed</w:t>
            </w:r>
          </w:p>
          <w:p w:rsidR="00BA5666" w:rsidRPr="00BA5666" w:rsidRDefault="00BA5666" w:rsidP="00BA5666">
            <w:pPr>
              <w:pStyle w:val="ListParagraph"/>
              <w:numPr>
                <w:ilvl w:val="0"/>
                <w:numId w:val="36"/>
              </w:numPr>
            </w:pPr>
            <w:r w:rsidRPr="00BA5666">
              <w:t>Monitor for falls risk</w:t>
            </w:r>
          </w:p>
          <w:p w:rsidR="00BA5666" w:rsidRDefault="00BA5666" w:rsidP="00BA5666">
            <w:pPr>
              <w:pStyle w:val="ListParagraph"/>
              <w:numPr>
                <w:ilvl w:val="0"/>
                <w:numId w:val="36"/>
              </w:numPr>
            </w:pPr>
            <w:r w:rsidRPr="00BA5666">
              <w:t>Monitor vitals every 15 minutes initially and less frequ</w:t>
            </w:r>
            <w:r>
              <w:t>ently as acute symptoms subside</w:t>
            </w:r>
          </w:p>
          <w:p w:rsidR="00BA5666" w:rsidRDefault="00BA5666" w:rsidP="00BA5666">
            <w:pPr>
              <w:pStyle w:val="ListParagraph"/>
              <w:numPr>
                <w:ilvl w:val="0"/>
                <w:numId w:val="36"/>
              </w:numPr>
            </w:pPr>
            <w:r>
              <w:t>Monitor respiratory pathways</w:t>
            </w:r>
          </w:p>
          <w:p w:rsidR="00BA5666" w:rsidRDefault="00BA5666" w:rsidP="00BA5666">
            <w:pPr>
              <w:pStyle w:val="ListParagraph"/>
              <w:numPr>
                <w:ilvl w:val="0"/>
                <w:numId w:val="36"/>
              </w:numPr>
            </w:pPr>
            <w:r>
              <w:lastRenderedPageBreak/>
              <w:t>Monitor risk for seizures</w:t>
            </w:r>
          </w:p>
          <w:p w:rsidR="00C15966" w:rsidRPr="00B82344" w:rsidRDefault="00BA5666" w:rsidP="00C15966">
            <w:pPr>
              <w:rPr>
                <w:b/>
              </w:rPr>
            </w:pPr>
            <w:r>
              <w:rPr>
                <w:b/>
              </w:rPr>
              <w:t xml:space="preserve">Supportive </w:t>
            </w:r>
            <w:r w:rsidR="00C15966" w:rsidRPr="00B82344">
              <w:rPr>
                <w:b/>
              </w:rPr>
              <w:t>Interventions</w:t>
            </w:r>
            <w:r w:rsidR="003956CB" w:rsidRPr="00B82344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>,10</w:t>
            </w:r>
          </w:p>
          <w:tbl>
            <w:tblPr>
              <w:tblStyle w:val="TableGrid"/>
              <w:tblW w:w="9449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49"/>
            </w:tblGrid>
            <w:tr w:rsidR="003956CB" w:rsidTr="003956CB">
              <w:tc>
                <w:tcPr>
                  <w:tcW w:w="9449" w:type="dxa"/>
                </w:tcPr>
                <w:p w:rsidR="003956CB" w:rsidRDefault="003956CB" w:rsidP="003956CB">
                  <w:pPr>
                    <w:pStyle w:val="ListParagraph"/>
                    <w:numPr>
                      <w:ilvl w:val="0"/>
                      <w:numId w:val="19"/>
                    </w:numPr>
                  </w:pPr>
                  <w:r w:rsidRPr="002D2A7A">
                    <w:t xml:space="preserve">Provide reassurance and supportive care </w:t>
                  </w:r>
                </w:p>
                <w:p w:rsidR="009E49D0" w:rsidRDefault="003956CB" w:rsidP="00596C38">
                  <w:pPr>
                    <w:pStyle w:val="ListParagraph"/>
                    <w:numPr>
                      <w:ilvl w:val="0"/>
                      <w:numId w:val="19"/>
                    </w:numPr>
                  </w:pPr>
                  <w:r w:rsidRPr="002D2A7A">
                    <w:t>Provide privacy if possible to preserve dignity and ensure safety</w:t>
                  </w:r>
                </w:p>
                <w:p w:rsidR="00BA5666" w:rsidRDefault="00BA5666" w:rsidP="00596C38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Institute seizure precaution strategies</w:t>
                  </w:r>
                </w:p>
                <w:p w:rsidR="00BA5666" w:rsidRDefault="00BA5666" w:rsidP="00596C38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Antipsychotics and minor tranquilizers may be used. Antipsychotics should be administered with caution due to their propensity to lower seizure threshold.</w:t>
                  </w:r>
                </w:p>
                <w:p w:rsidR="00BA5666" w:rsidRDefault="00BA5666" w:rsidP="00596C38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Repeated seizures may be treated with intravenous diazepam</w:t>
                  </w:r>
                </w:p>
              </w:tc>
            </w:tr>
          </w:tbl>
          <w:p w:rsidR="00C15966" w:rsidRPr="002D2A7A" w:rsidRDefault="00C15966" w:rsidP="003956CB">
            <w:pPr>
              <w:pStyle w:val="ListParagraph"/>
              <w:ind w:left="0"/>
            </w:pPr>
          </w:p>
        </w:tc>
      </w:tr>
      <w:tr w:rsidR="002D2A7A" w:rsidRPr="002D2A7A" w:rsidTr="00BA5666">
        <w:tc>
          <w:tcPr>
            <w:tcW w:w="1809" w:type="dxa"/>
            <w:shd w:val="clear" w:color="auto" w:fill="17365D" w:themeFill="text2" w:themeFillShade="BF"/>
          </w:tcPr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1D5B96" w:rsidRPr="00FC3280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Withdrawal presentation</w:t>
            </w:r>
          </w:p>
          <w:p w:rsidR="0005736C" w:rsidRPr="006B421D" w:rsidRDefault="006B421D" w:rsidP="00FC3280">
            <w:pPr>
              <w:jc w:val="center"/>
              <w:rPr>
                <w:rFonts w:ascii="Trebuchet MS" w:hAnsi="Trebuchet MS"/>
              </w:rPr>
            </w:pPr>
            <w:r w:rsidRPr="006B421D">
              <w:rPr>
                <w:rFonts w:ascii="Trebuchet MS" w:hAnsi="Trebuchet MS"/>
              </w:rPr>
              <w:t>(</w:t>
            </w:r>
            <w:r w:rsidR="0005736C" w:rsidRPr="006B421D">
              <w:rPr>
                <w:rFonts w:ascii="Trebuchet MS" w:hAnsi="Trebuchet MS"/>
              </w:rPr>
              <w:t>Withdrawal effects peak in 2-3 days</w:t>
            </w:r>
            <w:r w:rsidRPr="006B421D">
              <w:rPr>
                <w:rFonts w:ascii="Trebuchet MS" w:hAnsi="Trebuchet MS"/>
              </w:rPr>
              <w:t>)</w:t>
            </w:r>
          </w:p>
        </w:tc>
        <w:tc>
          <w:tcPr>
            <w:tcW w:w="9443" w:type="dxa"/>
          </w:tcPr>
          <w:p w:rsidR="002D2A7A" w:rsidRPr="00B82344" w:rsidRDefault="00766FBA" w:rsidP="002D2A7A">
            <w:pPr>
              <w:rPr>
                <w:b/>
                <w:vertAlign w:val="superscript"/>
              </w:rPr>
            </w:pPr>
            <w:r w:rsidRPr="00B82344">
              <w:rPr>
                <w:b/>
              </w:rPr>
              <w:t>Withdrawal</w:t>
            </w:r>
            <w:r w:rsidR="002D2A7A" w:rsidRPr="00B82344">
              <w:rPr>
                <w:b/>
              </w:rPr>
              <w:t xml:space="preserve"> Symptoms</w:t>
            </w:r>
            <w:r w:rsidR="009D3FF8" w:rsidRPr="00B82344">
              <w:rPr>
                <w:b/>
                <w:vertAlign w:val="superscript"/>
              </w:rPr>
              <w:t>3,4</w:t>
            </w:r>
          </w:p>
          <w:p w:rsidR="002D2A7A" w:rsidRPr="002D2A7A" w:rsidRDefault="002D2A7A" w:rsidP="002D2A7A">
            <w:pPr>
              <w:rPr>
                <w:vertAlign w:val="superscrip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829"/>
              <w:gridCol w:w="971"/>
              <w:gridCol w:w="1248"/>
              <w:gridCol w:w="333"/>
              <w:gridCol w:w="1676"/>
              <w:gridCol w:w="592"/>
              <w:gridCol w:w="2268"/>
            </w:tblGrid>
            <w:tr w:rsidR="003956CB" w:rsidRPr="002D2A7A" w:rsidTr="00F06C62">
              <w:tc>
                <w:tcPr>
                  <w:tcW w:w="1876" w:type="dxa"/>
                  <w:gridSpan w:val="2"/>
                </w:tcPr>
                <w:p w:rsidR="002D2A7A" w:rsidRPr="002D2A7A" w:rsidRDefault="002D2A7A" w:rsidP="00BA5666">
                  <w:r w:rsidRPr="002D2A7A">
                    <w:t>Psychosis</w:t>
                  </w:r>
                </w:p>
              </w:tc>
              <w:tc>
                <w:tcPr>
                  <w:tcW w:w="2552" w:type="dxa"/>
                  <w:gridSpan w:val="3"/>
                </w:tcPr>
                <w:p w:rsidR="002D2A7A" w:rsidRPr="002D2A7A" w:rsidRDefault="002D2A7A" w:rsidP="00BA5666">
                  <w:r w:rsidRPr="002D2A7A">
                    <w:t>Preoccupation with one’s own thoughts</w:t>
                  </w:r>
                </w:p>
              </w:tc>
              <w:tc>
                <w:tcPr>
                  <w:tcW w:w="2268" w:type="dxa"/>
                  <w:gridSpan w:val="2"/>
                </w:tcPr>
                <w:p w:rsidR="002D2A7A" w:rsidRPr="002D2A7A" w:rsidRDefault="005B66D8" w:rsidP="00BA5666">
                  <w:r w:rsidRPr="002D2A7A">
                    <w:t>Distorted sleep</w:t>
                  </w:r>
                </w:p>
              </w:tc>
              <w:tc>
                <w:tcPr>
                  <w:tcW w:w="2268" w:type="dxa"/>
                </w:tcPr>
                <w:p w:rsidR="002D2A7A" w:rsidRPr="002D2A7A" w:rsidRDefault="002D2A7A" w:rsidP="00775388">
                  <w:r w:rsidRPr="002D2A7A">
                    <w:t xml:space="preserve">Difficulty </w:t>
                  </w:r>
                  <w:r w:rsidR="00775388">
                    <w:t>c</w:t>
                  </w:r>
                  <w:r w:rsidRPr="002D2A7A">
                    <w:t>oncentrating</w:t>
                  </w:r>
                </w:p>
              </w:tc>
            </w:tr>
            <w:tr w:rsidR="003956CB" w:rsidRPr="002D2A7A" w:rsidTr="00F06C62">
              <w:tc>
                <w:tcPr>
                  <w:tcW w:w="1876" w:type="dxa"/>
                  <w:gridSpan w:val="2"/>
                </w:tcPr>
                <w:p w:rsidR="002D2A7A" w:rsidRPr="002D2A7A" w:rsidRDefault="002D2A7A" w:rsidP="00BA5666">
                  <w:r w:rsidRPr="002D2A7A">
                    <w:t>Paranoia</w:t>
                  </w:r>
                </w:p>
              </w:tc>
              <w:tc>
                <w:tcPr>
                  <w:tcW w:w="2552" w:type="dxa"/>
                  <w:gridSpan w:val="3"/>
                </w:tcPr>
                <w:p w:rsidR="002D2A7A" w:rsidRPr="002D2A7A" w:rsidRDefault="002D2A7A" w:rsidP="00BA5666">
                  <w:r w:rsidRPr="002D2A7A">
                    <w:t>Auditory/visual hallucinations</w:t>
                  </w:r>
                </w:p>
              </w:tc>
              <w:tc>
                <w:tcPr>
                  <w:tcW w:w="2268" w:type="dxa"/>
                  <w:gridSpan w:val="2"/>
                </w:tcPr>
                <w:p w:rsidR="002D2A7A" w:rsidRPr="002D2A7A" w:rsidRDefault="005B66D8" w:rsidP="00BA5666">
                  <w:r>
                    <w:t>Anxiety</w:t>
                  </w:r>
                </w:p>
              </w:tc>
              <w:tc>
                <w:tcPr>
                  <w:tcW w:w="2268" w:type="dxa"/>
                </w:tcPr>
                <w:p w:rsidR="002D2A7A" w:rsidRPr="002D2A7A" w:rsidRDefault="002D2A7A" w:rsidP="00BA5666">
                  <w:r w:rsidRPr="002D2A7A">
                    <w:t>Depression</w:t>
                  </w:r>
                </w:p>
              </w:tc>
            </w:tr>
            <w:tr w:rsidR="003956CB" w:rsidRPr="002D2A7A" w:rsidTr="00F06C62">
              <w:tc>
                <w:tcPr>
                  <w:tcW w:w="1876" w:type="dxa"/>
                  <w:gridSpan w:val="2"/>
                </w:tcPr>
                <w:p w:rsidR="002D2A7A" w:rsidRPr="002D2A7A" w:rsidRDefault="002D2A7A" w:rsidP="00BA5666">
                  <w:r w:rsidRPr="002D2A7A">
                    <w:t>Picking at skin</w:t>
                  </w:r>
                </w:p>
              </w:tc>
              <w:tc>
                <w:tcPr>
                  <w:tcW w:w="2552" w:type="dxa"/>
                  <w:gridSpan w:val="3"/>
                </w:tcPr>
                <w:p w:rsidR="002D2A7A" w:rsidRPr="002D2A7A" w:rsidRDefault="002D2A7A" w:rsidP="00BA5666">
                  <w:r w:rsidRPr="002D2A7A">
                    <w:t>Agitation</w:t>
                  </w:r>
                </w:p>
              </w:tc>
              <w:tc>
                <w:tcPr>
                  <w:tcW w:w="2268" w:type="dxa"/>
                  <w:gridSpan w:val="2"/>
                </w:tcPr>
                <w:p w:rsidR="002D2A7A" w:rsidRPr="002D2A7A" w:rsidRDefault="002D2A7A" w:rsidP="00BA5666">
                  <w:r w:rsidRPr="002D2A7A">
                    <w:t>Chronic fatigue</w:t>
                  </w:r>
                </w:p>
              </w:tc>
              <w:tc>
                <w:tcPr>
                  <w:tcW w:w="2268" w:type="dxa"/>
                </w:tcPr>
                <w:p w:rsidR="002D2A7A" w:rsidRPr="002D2A7A" w:rsidRDefault="002D2A7A" w:rsidP="00BA5666">
                  <w:r w:rsidRPr="002D2A7A">
                    <w:t>Suicidal/Homicidal Ideation</w:t>
                  </w:r>
                </w:p>
              </w:tc>
            </w:tr>
            <w:tr w:rsidR="003956CB" w:rsidRPr="002D2A7A" w:rsidTr="00F06C62">
              <w:tc>
                <w:tcPr>
                  <w:tcW w:w="1876" w:type="dxa"/>
                  <w:gridSpan w:val="2"/>
                </w:tcPr>
                <w:p w:rsidR="002D2A7A" w:rsidRPr="002D2A7A" w:rsidRDefault="002D2A7A" w:rsidP="00BA5666">
                  <w:r w:rsidRPr="002D2A7A">
                    <w:t>Nausea</w:t>
                  </w:r>
                </w:p>
              </w:tc>
              <w:tc>
                <w:tcPr>
                  <w:tcW w:w="2552" w:type="dxa"/>
                  <w:gridSpan w:val="3"/>
                </w:tcPr>
                <w:p w:rsidR="002D2A7A" w:rsidRPr="002D2A7A" w:rsidRDefault="002D2A7A" w:rsidP="00BA5666">
                  <w:r w:rsidRPr="002D2A7A">
                    <w:t>Diarrhea</w:t>
                  </w:r>
                </w:p>
              </w:tc>
              <w:tc>
                <w:tcPr>
                  <w:tcW w:w="2268" w:type="dxa"/>
                  <w:gridSpan w:val="2"/>
                </w:tcPr>
                <w:p w:rsidR="002D2A7A" w:rsidRPr="002D2A7A" w:rsidRDefault="002D2A7A" w:rsidP="00BA5666">
                  <w:r w:rsidRPr="002D2A7A">
                    <w:t>Anorexia</w:t>
                  </w:r>
                </w:p>
              </w:tc>
              <w:tc>
                <w:tcPr>
                  <w:tcW w:w="2268" w:type="dxa"/>
                </w:tcPr>
                <w:p w:rsidR="002D2A7A" w:rsidRPr="002D2A7A" w:rsidRDefault="002D2A7A" w:rsidP="00BA5666">
                  <w:r w:rsidRPr="002D2A7A">
                    <w:t>Hunger</w:t>
                  </w:r>
                </w:p>
              </w:tc>
            </w:tr>
            <w:tr w:rsidR="003956CB" w:rsidRPr="002D2A7A" w:rsidTr="00F06C62">
              <w:tc>
                <w:tcPr>
                  <w:tcW w:w="1876" w:type="dxa"/>
                  <w:gridSpan w:val="2"/>
                </w:tcPr>
                <w:p w:rsidR="002D2A7A" w:rsidRPr="002D2A7A" w:rsidRDefault="002D2A7A" w:rsidP="00BA5666">
                  <w:proofErr w:type="spellStart"/>
                  <w:r w:rsidRPr="002D2A7A">
                    <w:t>Myalgias</w:t>
                  </w:r>
                  <w:proofErr w:type="spellEnd"/>
                </w:p>
              </w:tc>
              <w:tc>
                <w:tcPr>
                  <w:tcW w:w="2552" w:type="dxa"/>
                  <w:gridSpan w:val="3"/>
                </w:tcPr>
                <w:p w:rsidR="002D2A7A" w:rsidRPr="002D2A7A" w:rsidRDefault="002D2A7A" w:rsidP="00BA5666">
                  <w:r w:rsidRPr="002D2A7A">
                    <w:t>Diaphoresis</w:t>
                  </w:r>
                </w:p>
              </w:tc>
              <w:tc>
                <w:tcPr>
                  <w:tcW w:w="2268" w:type="dxa"/>
                  <w:gridSpan w:val="2"/>
                </w:tcPr>
                <w:p w:rsidR="002D2A7A" w:rsidRPr="002D2A7A" w:rsidRDefault="002D2A7A" w:rsidP="00BA5666">
                  <w:r w:rsidRPr="002D2A7A">
                    <w:t>Convulsions</w:t>
                  </w:r>
                </w:p>
              </w:tc>
              <w:tc>
                <w:tcPr>
                  <w:tcW w:w="2268" w:type="dxa"/>
                </w:tcPr>
                <w:p w:rsidR="002D2A7A" w:rsidRPr="002D2A7A" w:rsidRDefault="002D2A7A" w:rsidP="00BA5666">
                  <w:r w:rsidRPr="002D2A7A">
                    <w:t>Headache</w:t>
                  </w:r>
                </w:p>
              </w:tc>
            </w:tr>
            <w:tr w:rsidR="002D2A7A" w:rsidRPr="002D2A7A" w:rsidTr="00F06C62">
              <w:trPr>
                <w:gridAfter w:val="2"/>
                <w:wAfter w:w="2860" w:type="dxa"/>
              </w:trPr>
              <w:tc>
                <w:tcPr>
                  <w:tcW w:w="1047" w:type="dxa"/>
                </w:tcPr>
                <w:p w:rsidR="002D2A7A" w:rsidRPr="002D2A7A" w:rsidRDefault="002D2A7A" w:rsidP="00BA5666">
                  <w:pPr>
                    <w:pStyle w:val="ListParagraph"/>
                    <w:ind w:left="0"/>
                  </w:pPr>
                </w:p>
              </w:tc>
              <w:tc>
                <w:tcPr>
                  <w:tcW w:w="1800" w:type="dxa"/>
                  <w:gridSpan w:val="2"/>
                </w:tcPr>
                <w:p w:rsidR="002D2A7A" w:rsidRPr="002D2A7A" w:rsidRDefault="002D2A7A" w:rsidP="00BA5666">
                  <w:pPr>
                    <w:pStyle w:val="ListParagraph"/>
                    <w:ind w:left="0"/>
                  </w:pPr>
                </w:p>
              </w:tc>
              <w:tc>
                <w:tcPr>
                  <w:tcW w:w="1248" w:type="dxa"/>
                </w:tcPr>
                <w:p w:rsidR="002D2A7A" w:rsidRPr="002D2A7A" w:rsidRDefault="002D2A7A" w:rsidP="00BA5666">
                  <w:pPr>
                    <w:pStyle w:val="ListParagraph"/>
                    <w:ind w:left="0"/>
                  </w:pPr>
                </w:p>
              </w:tc>
              <w:tc>
                <w:tcPr>
                  <w:tcW w:w="2009" w:type="dxa"/>
                  <w:gridSpan w:val="2"/>
                </w:tcPr>
                <w:p w:rsidR="002D2A7A" w:rsidRPr="002D2A7A" w:rsidRDefault="002D2A7A" w:rsidP="00BA5666">
                  <w:pPr>
                    <w:pStyle w:val="ListParagraph"/>
                    <w:ind w:left="0"/>
                  </w:pPr>
                </w:p>
              </w:tc>
            </w:tr>
          </w:tbl>
          <w:p w:rsidR="004D7748" w:rsidRPr="002D2A7A" w:rsidRDefault="004D7748" w:rsidP="002D2A7A">
            <w:pPr>
              <w:pStyle w:val="ListParagraph"/>
              <w:ind w:left="1080"/>
            </w:pPr>
          </w:p>
        </w:tc>
      </w:tr>
      <w:tr w:rsidR="002D2A7A" w:rsidRPr="002D2A7A" w:rsidTr="00BA5666">
        <w:tc>
          <w:tcPr>
            <w:tcW w:w="1809" w:type="dxa"/>
            <w:shd w:val="clear" w:color="auto" w:fill="17365D" w:themeFill="text2" w:themeFillShade="BF"/>
          </w:tcPr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Default="008D71A3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Default="008D71A3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Default="008D71A3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Default="008D71A3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1D5B96" w:rsidRPr="00FC3280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 xml:space="preserve">Monitoring and </w:t>
            </w:r>
            <w:r w:rsidR="00A15E98" w:rsidRPr="00FC3280">
              <w:rPr>
                <w:rFonts w:ascii="Trebuchet MS" w:hAnsi="Trebuchet MS"/>
                <w:b/>
              </w:rPr>
              <w:t xml:space="preserve">interventions </w:t>
            </w:r>
            <w:r w:rsidRPr="00FC3280">
              <w:rPr>
                <w:rFonts w:ascii="Trebuchet MS" w:hAnsi="Trebuchet MS"/>
                <w:b/>
              </w:rPr>
              <w:t>during withdrawal</w:t>
            </w:r>
          </w:p>
        </w:tc>
        <w:tc>
          <w:tcPr>
            <w:tcW w:w="9443" w:type="dxa"/>
          </w:tcPr>
          <w:p w:rsidR="00BA5666" w:rsidRDefault="00B967E3" w:rsidP="00B82344">
            <w:pPr>
              <w:rPr>
                <w:b/>
                <w:vertAlign w:val="superscript"/>
              </w:rPr>
            </w:pPr>
            <w:r>
              <w:rPr>
                <w:b/>
              </w:rPr>
              <w:t>Goal</w:t>
            </w:r>
            <w:r w:rsidRPr="00B967E3">
              <w:rPr>
                <w:b/>
                <w:vertAlign w:val="superscript"/>
              </w:rPr>
              <w:t>10</w:t>
            </w:r>
          </w:p>
          <w:p w:rsidR="00B967E3" w:rsidRPr="00B967E3" w:rsidRDefault="00B967E3" w:rsidP="00B967E3">
            <w:pPr>
              <w:pStyle w:val="ListParagraph"/>
              <w:numPr>
                <w:ilvl w:val="0"/>
                <w:numId w:val="21"/>
              </w:numPr>
            </w:pPr>
            <w:r w:rsidRPr="00B967E3">
              <w:t xml:space="preserve">Reduce drug cravings and manage depression </w:t>
            </w:r>
          </w:p>
          <w:p w:rsidR="00B82344" w:rsidRPr="00B82344" w:rsidRDefault="00B82344" w:rsidP="00B82344">
            <w:pPr>
              <w:rPr>
                <w:b/>
              </w:rPr>
            </w:pPr>
            <w:r w:rsidRPr="00B82344">
              <w:rPr>
                <w:b/>
              </w:rPr>
              <w:t>Monitor</w:t>
            </w:r>
            <w:r w:rsidR="00575BA2" w:rsidRPr="00A15E98">
              <w:rPr>
                <w:vertAlign w:val="superscript"/>
              </w:rPr>
              <w:t>3</w:t>
            </w:r>
            <w:r w:rsidR="00B967E3">
              <w:rPr>
                <w:vertAlign w:val="superscript"/>
              </w:rPr>
              <w:t>,10</w:t>
            </w:r>
          </w:p>
          <w:p w:rsidR="00B967E3" w:rsidRDefault="00B967E3" w:rsidP="00B967E3">
            <w:pPr>
              <w:pStyle w:val="ListParagraph"/>
              <w:numPr>
                <w:ilvl w:val="0"/>
                <w:numId w:val="21"/>
              </w:numPr>
            </w:pPr>
            <w:r>
              <w:t>Mental status (including suicide risk and agitation)</w:t>
            </w:r>
          </w:p>
          <w:p w:rsidR="0005736C" w:rsidRPr="002D2A7A" w:rsidRDefault="00B967E3" w:rsidP="00B967E3">
            <w:pPr>
              <w:pStyle w:val="ListParagraph"/>
              <w:numPr>
                <w:ilvl w:val="0"/>
                <w:numId w:val="21"/>
              </w:numPr>
            </w:pPr>
            <w:r>
              <w:t xml:space="preserve">Physical status (including hydration, electrolytes, seizures and possible </w:t>
            </w:r>
            <w:r w:rsidR="0005736C" w:rsidRPr="002D2A7A">
              <w:t>serotonin syndrome</w:t>
            </w:r>
            <w:r>
              <w:t>)</w:t>
            </w:r>
          </w:p>
          <w:p w:rsidR="00B82344" w:rsidRPr="00A15E98" w:rsidRDefault="00B82344" w:rsidP="00B82344">
            <w:pPr>
              <w:rPr>
                <w:b/>
              </w:rPr>
            </w:pPr>
            <w:r w:rsidRPr="00A15E98">
              <w:rPr>
                <w:b/>
              </w:rPr>
              <w:t>Interventions</w:t>
            </w:r>
            <w:r w:rsidR="00575BA2" w:rsidRPr="00A15E98">
              <w:rPr>
                <w:vertAlign w:val="superscript"/>
              </w:rPr>
              <w:t>3</w:t>
            </w:r>
            <w:r w:rsidR="00B967E3">
              <w:rPr>
                <w:vertAlign w:val="superscript"/>
              </w:rPr>
              <w:t>,10</w:t>
            </w:r>
          </w:p>
          <w:p w:rsidR="00B967E3" w:rsidRDefault="00B967E3" w:rsidP="00B967E3">
            <w:pPr>
              <w:pStyle w:val="ListParagraph"/>
              <w:numPr>
                <w:ilvl w:val="0"/>
                <w:numId w:val="21"/>
              </w:numPr>
            </w:pPr>
            <w:r w:rsidRPr="00B967E3">
              <w:t>Provide a calm and quiet environment</w:t>
            </w:r>
          </w:p>
          <w:p w:rsidR="00B967E3" w:rsidRPr="00B967E3" w:rsidRDefault="00B967E3" w:rsidP="00B967E3">
            <w:pPr>
              <w:pStyle w:val="ListParagraph"/>
              <w:numPr>
                <w:ilvl w:val="0"/>
                <w:numId w:val="21"/>
              </w:numPr>
            </w:pPr>
            <w:r>
              <w:t>Allow client to eat and sleep as much as desired</w:t>
            </w:r>
          </w:p>
          <w:p w:rsidR="00B82344" w:rsidRDefault="00B82344" w:rsidP="00B967E3">
            <w:pPr>
              <w:pStyle w:val="ListParagraph"/>
              <w:numPr>
                <w:ilvl w:val="0"/>
                <w:numId w:val="21"/>
              </w:numPr>
            </w:pPr>
            <w:r w:rsidRPr="002D2A7A">
              <w:t>Use calming techniques/ reassurance/ supportive measures</w:t>
            </w:r>
          </w:p>
          <w:p w:rsidR="00B967E3" w:rsidRPr="002D2A7A" w:rsidRDefault="00B967E3" w:rsidP="00B967E3">
            <w:pPr>
              <w:pStyle w:val="ListParagraph"/>
              <w:numPr>
                <w:ilvl w:val="0"/>
                <w:numId w:val="21"/>
              </w:numPr>
            </w:pPr>
            <w:r>
              <w:t>Suicide precaut</w:t>
            </w:r>
            <w:r w:rsidR="005D03A9">
              <w:t>ions may need to be instituted</w:t>
            </w:r>
          </w:p>
          <w:p w:rsidR="00A15E98" w:rsidRPr="002D2A7A" w:rsidRDefault="00A15E98" w:rsidP="00B967E3">
            <w:pPr>
              <w:pStyle w:val="ListParagraph"/>
              <w:numPr>
                <w:ilvl w:val="0"/>
                <w:numId w:val="21"/>
              </w:numPr>
            </w:pPr>
            <w:r w:rsidRPr="002D2A7A">
              <w:t>Supportive care of excessive sympathomimetic  stimulation may be required</w:t>
            </w:r>
          </w:p>
          <w:p w:rsidR="00B82344" w:rsidRDefault="00A15E98" w:rsidP="00B967E3">
            <w:pPr>
              <w:pStyle w:val="ListParagraph"/>
              <w:numPr>
                <w:ilvl w:val="0"/>
                <w:numId w:val="21"/>
              </w:numPr>
            </w:pPr>
            <w:r>
              <w:t>Antipsychotics have been used for psychotic symptoms</w:t>
            </w:r>
          </w:p>
          <w:p w:rsidR="00A15E98" w:rsidRDefault="00A15E98" w:rsidP="00B967E3">
            <w:pPr>
              <w:pStyle w:val="ListParagraph"/>
              <w:numPr>
                <w:ilvl w:val="0"/>
                <w:numId w:val="21"/>
              </w:numPr>
            </w:pPr>
            <w:r>
              <w:t>Antidepressants have been used for depressive symptoms</w:t>
            </w:r>
          </w:p>
          <w:p w:rsidR="00A15E98" w:rsidRDefault="00A15E98" w:rsidP="00B967E3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Dimenhydrinate</w:t>
            </w:r>
            <w:proofErr w:type="spellEnd"/>
            <w:r>
              <w:t xml:space="preserve"> and </w:t>
            </w:r>
            <w:proofErr w:type="spellStart"/>
            <w:r>
              <w:t>Loperamide</w:t>
            </w:r>
            <w:proofErr w:type="spellEnd"/>
            <w:r w:rsidR="005D03A9">
              <w:t xml:space="preserve"> have been used for GI distress</w:t>
            </w:r>
            <w:r>
              <w:t xml:space="preserve"> </w:t>
            </w:r>
          </w:p>
          <w:p w:rsidR="0005736C" w:rsidRPr="002D2A7A" w:rsidRDefault="0005736C" w:rsidP="00A15E98"/>
        </w:tc>
      </w:tr>
      <w:tr w:rsidR="002D2A7A" w:rsidRPr="002D2A7A" w:rsidTr="00BA5666">
        <w:tc>
          <w:tcPr>
            <w:tcW w:w="1809" w:type="dxa"/>
            <w:shd w:val="clear" w:color="auto" w:fill="17365D" w:themeFill="text2" w:themeFillShade="BF"/>
          </w:tcPr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5B66D8" w:rsidRDefault="005B66D8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1D5B96" w:rsidRPr="00FC3280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Potential Complications</w:t>
            </w:r>
            <w:r w:rsidR="006016BA" w:rsidRPr="00A15E98">
              <w:rPr>
                <w:vertAlign w:val="superscript"/>
              </w:rPr>
              <w:t>3</w:t>
            </w:r>
          </w:p>
        </w:tc>
        <w:tc>
          <w:tcPr>
            <w:tcW w:w="9443" w:type="dxa"/>
          </w:tcPr>
          <w:p w:rsidR="0005736C" w:rsidRPr="002D2A7A" w:rsidRDefault="00A15E98" w:rsidP="0005736C">
            <w:pPr>
              <w:pStyle w:val="ListParagraph"/>
              <w:numPr>
                <w:ilvl w:val="0"/>
                <w:numId w:val="12"/>
              </w:numPr>
            </w:pPr>
            <w:r>
              <w:t>P</w:t>
            </w:r>
            <w:r w:rsidR="0005736C" w:rsidRPr="002D2A7A">
              <w:t>sychosis can sometimes become chronic</w:t>
            </w:r>
          </w:p>
          <w:p w:rsidR="0005736C" w:rsidRPr="002D2A7A" w:rsidRDefault="00A15E98" w:rsidP="0005736C">
            <w:pPr>
              <w:pStyle w:val="ListParagraph"/>
              <w:numPr>
                <w:ilvl w:val="0"/>
                <w:numId w:val="12"/>
              </w:numPr>
            </w:pPr>
            <w:r>
              <w:t>S</w:t>
            </w:r>
            <w:r w:rsidR="0005736C" w:rsidRPr="002D2A7A">
              <w:t>trokes</w:t>
            </w:r>
            <w:r>
              <w:t xml:space="preserve"> may occur</w:t>
            </w:r>
          </w:p>
          <w:p w:rsidR="0005736C" w:rsidRPr="002D2A7A" w:rsidRDefault="00A15E98" w:rsidP="0005736C">
            <w:pPr>
              <w:pStyle w:val="ListParagraph"/>
              <w:numPr>
                <w:ilvl w:val="0"/>
                <w:numId w:val="12"/>
              </w:numPr>
            </w:pPr>
            <w:r>
              <w:t>R</w:t>
            </w:r>
            <w:r w:rsidR="0005736C" w:rsidRPr="002D2A7A">
              <w:t xml:space="preserve">etinal damage </w:t>
            </w:r>
            <w:r>
              <w:t xml:space="preserve">may occur </w:t>
            </w:r>
            <w:r w:rsidR="0005736C" w:rsidRPr="002D2A7A">
              <w:t xml:space="preserve">due to intense </w:t>
            </w:r>
            <w:r w:rsidR="004D7748" w:rsidRPr="002D2A7A">
              <w:t>vasospasm</w:t>
            </w:r>
            <w:r w:rsidR="0005736C" w:rsidRPr="002D2A7A">
              <w:t xml:space="preserve"> </w:t>
            </w:r>
          </w:p>
          <w:p w:rsidR="0005736C" w:rsidRPr="002D2A7A" w:rsidRDefault="00A15E98" w:rsidP="0005736C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V</w:t>
            </w:r>
            <w:r w:rsidR="0005736C" w:rsidRPr="002D2A7A">
              <w:t>asculopathy</w:t>
            </w:r>
            <w:proofErr w:type="spellEnd"/>
            <w:r w:rsidR="0005736C" w:rsidRPr="002D2A7A">
              <w:t xml:space="preserve"> with or without parenchymal infarction</w:t>
            </w:r>
            <w:r w:rsidR="009F06E5">
              <w:t xml:space="preserve"> </w:t>
            </w:r>
          </w:p>
          <w:p w:rsidR="0005736C" w:rsidRPr="002D2A7A" w:rsidRDefault="00A15E98" w:rsidP="0005736C">
            <w:pPr>
              <w:pStyle w:val="ListParagraph"/>
              <w:numPr>
                <w:ilvl w:val="0"/>
                <w:numId w:val="12"/>
              </w:numPr>
            </w:pPr>
            <w:r>
              <w:t>H</w:t>
            </w:r>
            <w:r w:rsidR="0005736C" w:rsidRPr="002D2A7A">
              <w:t>ypertensive encephalopathy</w:t>
            </w:r>
          </w:p>
          <w:p w:rsidR="0005736C" w:rsidRPr="002D2A7A" w:rsidRDefault="00A15E98" w:rsidP="0005736C">
            <w:pPr>
              <w:pStyle w:val="ListParagraph"/>
              <w:numPr>
                <w:ilvl w:val="0"/>
                <w:numId w:val="12"/>
              </w:numPr>
            </w:pPr>
            <w:r>
              <w:t>H</w:t>
            </w:r>
            <w:r w:rsidR="0005736C" w:rsidRPr="002D2A7A">
              <w:t>emorrhage</w:t>
            </w:r>
          </w:p>
          <w:p w:rsidR="0005736C" w:rsidRPr="002D2A7A" w:rsidRDefault="00A15E98" w:rsidP="006016BA">
            <w:pPr>
              <w:pStyle w:val="ListParagraph"/>
              <w:numPr>
                <w:ilvl w:val="0"/>
                <w:numId w:val="13"/>
              </w:numPr>
            </w:pPr>
            <w:r>
              <w:t>C</w:t>
            </w:r>
            <w:r w:rsidR="0005736C" w:rsidRPr="002D2A7A">
              <w:t>hronic intoxication may result in a psychotic state with delusions, hallucinations, and delirium</w:t>
            </w:r>
          </w:p>
        </w:tc>
      </w:tr>
      <w:tr w:rsidR="002D2A7A" w:rsidRPr="002D2A7A" w:rsidTr="00BA5666">
        <w:tc>
          <w:tcPr>
            <w:tcW w:w="1809" w:type="dxa"/>
            <w:shd w:val="clear" w:color="auto" w:fill="17365D" w:themeFill="text2" w:themeFillShade="BF"/>
          </w:tcPr>
          <w:p w:rsidR="009E49D0" w:rsidRDefault="009E49D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9E49D0" w:rsidRDefault="009E49D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9E49D0" w:rsidRDefault="009E49D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Default="008D71A3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1D5B96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Drug interactions</w:t>
            </w: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Default="00455DE5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455DE5" w:rsidRPr="00455DE5" w:rsidRDefault="00455DE5" w:rsidP="00FC3280">
            <w:pPr>
              <w:jc w:val="center"/>
              <w:rPr>
                <w:rFonts w:ascii="Trebuchet MS" w:hAnsi="Trebuchet MS"/>
                <w:i/>
              </w:rPr>
            </w:pPr>
            <w:r w:rsidRPr="00FC3280">
              <w:rPr>
                <w:rFonts w:ascii="Trebuchet MS" w:hAnsi="Trebuchet MS"/>
                <w:b/>
              </w:rPr>
              <w:t>Drug interactions</w:t>
            </w:r>
            <w:r>
              <w:rPr>
                <w:rFonts w:ascii="Trebuchet MS" w:hAnsi="Trebuchet MS"/>
                <w:b/>
              </w:rPr>
              <w:br/>
            </w:r>
            <w:r w:rsidRPr="006B421D">
              <w:rPr>
                <w:rFonts w:ascii="Trebuchet MS" w:hAnsi="Trebuchet MS"/>
              </w:rPr>
              <w:t>(Continued)</w:t>
            </w:r>
          </w:p>
        </w:tc>
        <w:tc>
          <w:tcPr>
            <w:tcW w:w="9443" w:type="dxa"/>
          </w:tcPr>
          <w:tbl>
            <w:tblPr>
              <w:tblStyle w:val="TableGrid"/>
              <w:tblW w:w="911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8"/>
              <w:gridCol w:w="4559"/>
            </w:tblGrid>
            <w:tr w:rsidR="00153D09" w:rsidTr="00455DE5">
              <w:tc>
                <w:tcPr>
                  <w:tcW w:w="4558" w:type="dxa"/>
                </w:tcPr>
                <w:p w:rsidR="00153D09" w:rsidRPr="006016BA" w:rsidRDefault="00153D09" w:rsidP="00153D09">
                  <w:pPr>
                    <w:pStyle w:val="ListParagraph"/>
                    <w:ind w:left="0"/>
                  </w:pPr>
                  <w:r>
                    <w:rPr>
                      <w:b/>
                    </w:rPr>
                    <w:lastRenderedPageBreak/>
                    <w:t>With A</w:t>
                  </w:r>
                  <w:r w:rsidRPr="009E49D0">
                    <w:rPr>
                      <w:b/>
                    </w:rPr>
                    <w:t>ntidepressants</w:t>
                  </w:r>
                  <w:r>
                    <w:rPr>
                      <w:b/>
                    </w:rPr>
                    <w:t xml:space="preserve"> (SNRIs and SSRIs)</w:t>
                  </w:r>
                  <w:r w:rsidR="006016BA">
                    <w:rPr>
                      <w:vertAlign w:val="superscript"/>
                    </w:rPr>
                    <w:t xml:space="preserve"> 6,7</w:t>
                  </w:r>
                </w:p>
                <w:p w:rsidR="00153D09" w:rsidRPr="002D2A7A" w:rsidRDefault="00153D09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2D2A7A">
                    <w:t>May enhance general antidepressant effects</w:t>
                  </w:r>
                </w:p>
                <w:p w:rsidR="00153D09" w:rsidRDefault="00153D09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2D2A7A">
                    <w:t>May enhance the stimulant effects of tricyclic antidepressants.</w:t>
                  </w:r>
                </w:p>
                <w:p w:rsidR="00153D09" w:rsidRPr="009D574D" w:rsidRDefault="00153D09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9D574D">
                    <w:t xml:space="preserve">Risk of Serotonin syndrome </w:t>
                  </w:r>
                </w:p>
                <w:p w:rsidR="00153D09" w:rsidRPr="00153D09" w:rsidRDefault="00153D09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9D574D">
                    <w:t>Most antidepressants inhibit CYP2D6, increasing amphetamine effects (Fluoxetine especially)</w:t>
                  </w:r>
                </w:p>
                <w:p w:rsidR="00153D09" w:rsidRPr="00ED7977" w:rsidRDefault="00153D09" w:rsidP="00153D09">
                  <w:pPr>
                    <w:rPr>
                      <w:b/>
                      <w:vertAlign w:val="superscript"/>
                    </w:rPr>
                  </w:pPr>
                  <w:r w:rsidRPr="00ED7977">
                    <w:rPr>
                      <w:b/>
                    </w:rPr>
                    <w:lastRenderedPageBreak/>
                    <w:t>With Amitriptyline/TCAs</w:t>
                  </w:r>
                  <w:r w:rsidRPr="00ED7977">
                    <w:rPr>
                      <w:b/>
                      <w:vertAlign w:val="superscript"/>
                    </w:rPr>
                    <w:t>6</w:t>
                  </w:r>
                </w:p>
                <w:p w:rsidR="00153D09" w:rsidRPr="009D574D" w:rsidRDefault="00153D09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9D574D">
                    <w:t>Serious risk of arrhythmia</w:t>
                  </w:r>
                  <w:r>
                    <w:t>s</w:t>
                  </w:r>
                  <w:r w:rsidRPr="009D574D">
                    <w:t xml:space="preserve"> and acute elevation in blood pressure</w:t>
                  </w:r>
                </w:p>
                <w:p w:rsidR="00153D09" w:rsidRPr="00ED7977" w:rsidRDefault="00153D09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9D574D">
                    <w:t>May enhance the stimulatory effect of amphetamines</w:t>
                  </w:r>
                  <w:r>
                    <w:rPr>
                      <w:vertAlign w:val="superscript"/>
                    </w:rPr>
                    <w:t>8</w:t>
                  </w:r>
                </w:p>
                <w:p w:rsidR="00ED7977" w:rsidRDefault="00ED7977" w:rsidP="00ED7977">
                  <w:pPr>
                    <w:rPr>
                      <w:b/>
                      <w:vertAlign w:val="superscript"/>
                    </w:rPr>
                  </w:pPr>
                  <w:r w:rsidRPr="00ED7977">
                    <w:rPr>
                      <w:b/>
                    </w:rPr>
                    <w:t>With MAOIs</w:t>
                  </w:r>
                  <w:r w:rsidRPr="00ED7977">
                    <w:rPr>
                      <w:b/>
                      <w:vertAlign w:val="superscript"/>
                    </w:rPr>
                    <w:t>6</w:t>
                  </w:r>
                </w:p>
                <w:p w:rsidR="00ED7977" w:rsidRPr="009D574D" w:rsidRDefault="00ED7977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9D574D">
                    <w:t>Hypertensive Crisis</w:t>
                  </w:r>
                </w:p>
                <w:p w:rsidR="00ED7977" w:rsidRPr="00ED7977" w:rsidRDefault="00ED7977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9D574D">
                    <w:t>Serotonin syndrome</w:t>
                  </w:r>
                </w:p>
                <w:p w:rsidR="00153D09" w:rsidRPr="009E49D0" w:rsidRDefault="00153D09" w:rsidP="00153D09">
                  <w:pPr>
                    <w:rPr>
                      <w:b/>
                    </w:rPr>
                  </w:pPr>
                  <w:r w:rsidRPr="009E49D0">
                    <w:rPr>
                      <w:b/>
                    </w:rPr>
                    <w:t xml:space="preserve">With </w:t>
                  </w:r>
                  <w:r>
                    <w:rPr>
                      <w:b/>
                    </w:rPr>
                    <w:t>A</w:t>
                  </w:r>
                  <w:r w:rsidRPr="009E49D0">
                    <w:rPr>
                      <w:b/>
                    </w:rPr>
                    <w:t>ntipsychotics</w:t>
                  </w:r>
                  <w:r w:rsidR="00ED7977" w:rsidRPr="00ED7977">
                    <w:rPr>
                      <w:vertAlign w:val="superscript"/>
                    </w:rPr>
                    <w:t>3</w:t>
                  </w:r>
                </w:p>
                <w:p w:rsidR="00153D09" w:rsidRDefault="00153D09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2D2A7A">
                    <w:t>May decrease the effects of both agents</w:t>
                  </w:r>
                </w:p>
                <w:p w:rsidR="00ED7977" w:rsidRPr="00ED7977" w:rsidRDefault="00ED7977" w:rsidP="00ED7977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t>With Anticonvulsants</w:t>
                  </w:r>
                  <w:r w:rsidRPr="00ED7977">
                    <w:rPr>
                      <w:b/>
                      <w:vertAlign w:val="superscript"/>
                    </w:rPr>
                    <w:t>8</w:t>
                  </w:r>
                </w:p>
                <w:p w:rsidR="00ED7977" w:rsidRDefault="00ED7977" w:rsidP="00ED7977">
                  <w:pPr>
                    <w:pStyle w:val="ListParagraph"/>
                    <w:numPr>
                      <w:ilvl w:val="0"/>
                      <w:numId w:val="33"/>
                    </w:numPr>
                  </w:pPr>
                  <w:r w:rsidRPr="009D574D">
                    <w:t>Lowers seizure threshold and may cause</w:t>
                  </w:r>
                </w:p>
                <w:p w:rsidR="00455DE5" w:rsidRDefault="00455DE5" w:rsidP="00ED7977">
                  <w:pPr>
                    <w:rPr>
                      <w:b/>
                    </w:rPr>
                  </w:pPr>
                </w:p>
                <w:p w:rsidR="00ED7977" w:rsidRPr="00153D09" w:rsidRDefault="00ED7977" w:rsidP="00ED7977">
                  <w:pPr>
                    <w:rPr>
                      <w:b/>
                    </w:rPr>
                  </w:pPr>
                  <w:r w:rsidRPr="00153D09">
                    <w:rPr>
                      <w:b/>
                    </w:rPr>
                    <w:t>With Lithium</w:t>
                  </w:r>
                  <w:r>
                    <w:rPr>
                      <w:b/>
                      <w:vertAlign w:val="superscript"/>
                    </w:rPr>
                    <w:t>6</w:t>
                  </w:r>
                </w:p>
                <w:p w:rsidR="00153D09" w:rsidRDefault="00ED7977" w:rsidP="00ED7977">
                  <w:pPr>
                    <w:pStyle w:val="ListParagraph"/>
                    <w:numPr>
                      <w:ilvl w:val="0"/>
                      <w:numId w:val="33"/>
                    </w:numPr>
                  </w:pPr>
                  <w:r>
                    <w:t>Decrease in amphetamine effect</w:t>
                  </w:r>
                  <w:r w:rsidRPr="009D574D">
                    <w:t xml:space="preserve"> seizures</w:t>
                  </w:r>
                </w:p>
                <w:p w:rsidR="00ED7977" w:rsidRPr="00ED7977" w:rsidRDefault="00ED7977" w:rsidP="00ED7977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t>With Ketamine</w:t>
                  </w:r>
                  <w:r w:rsidRPr="00ED7977">
                    <w:rPr>
                      <w:b/>
                      <w:vertAlign w:val="superscript"/>
                    </w:rPr>
                    <w:t>8</w:t>
                  </w:r>
                </w:p>
                <w:p w:rsidR="00ED7977" w:rsidRPr="009D574D" w:rsidRDefault="00ED7977" w:rsidP="00ED7977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009D574D">
                    <w:t>Increases hallucinatory behaviour</w:t>
                  </w:r>
                </w:p>
                <w:p w:rsidR="00ED7977" w:rsidRDefault="00ED7977" w:rsidP="00ED7977"/>
              </w:tc>
              <w:tc>
                <w:tcPr>
                  <w:tcW w:w="4559" w:type="dxa"/>
                </w:tcPr>
                <w:p w:rsidR="00153D09" w:rsidRPr="00ED7977" w:rsidRDefault="00153D09" w:rsidP="00153D09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lastRenderedPageBreak/>
                    <w:t>With Varenicline</w:t>
                  </w:r>
                  <w:r w:rsidR="00ED7977" w:rsidRPr="00ED7977">
                    <w:rPr>
                      <w:b/>
                      <w:vertAlign w:val="superscript"/>
                    </w:rPr>
                    <w:t>8</w:t>
                  </w:r>
                </w:p>
                <w:p w:rsidR="00153D09" w:rsidRPr="009D574D" w:rsidRDefault="00153D09" w:rsidP="00153D09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009D574D">
                    <w:t xml:space="preserve">Reduced effectiveness of </w:t>
                  </w:r>
                  <w:proofErr w:type="spellStart"/>
                  <w:r w:rsidRPr="009D574D">
                    <w:t>varenicline</w:t>
                  </w:r>
                  <w:proofErr w:type="spellEnd"/>
                </w:p>
                <w:p w:rsidR="00153D09" w:rsidRPr="00ED7977" w:rsidRDefault="00ED7977" w:rsidP="00153D09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t xml:space="preserve">With </w:t>
                  </w:r>
                  <w:r w:rsidR="00153D09" w:rsidRPr="00ED7977">
                    <w:rPr>
                      <w:b/>
                    </w:rPr>
                    <w:t>Moclobemide</w:t>
                  </w:r>
                  <w:r w:rsidRPr="00ED7977">
                    <w:rPr>
                      <w:b/>
                      <w:vertAlign w:val="superscript"/>
                    </w:rPr>
                    <w:t>6</w:t>
                  </w:r>
                </w:p>
                <w:p w:rsidR="00153D09" w:rsidRPr="009D574D" w:rsidRDefault="00153D09" w:rsidP="00153D09">
                  <w:pPr>
                    <w:pStyle w:val="ListParagraph"/>
                    <w:numPr>
                      <w:ilvl w:val="0"/>
                      <w:numId w:val="31"/>
                    </w:numPr>
                  </w:pPr>
                  <w:r w:rsidRPr="009D574D">
                    <w:t>Hypertensive Crisis</w:t>
                  </w:r>
                </w:p>
                <w:p w:rsidR="00153D09" w:rsidRPr="009D574D" w:rsidRDefault="00153D09" w:rsidP="00153D09">
                  <w:pPr>
                    <w:pStyle w:val="ListParagraph"/>
                    <w:numPr>
                      <w:ilvl w:val="0"/>
                      <w:numId w:val="31"/>
                    </w:numPr>
                  </w:pPr>
                  <w:r w:rsidRPr="009D574D">
                    <w:t>Serotonin Syndrome</w:t>
                  </w:r>
                </w:p>
                <w:p w:rsidR="00153D09" w:rsidRPr="00ED7977" w:rsidRDefault="00ED7977" w:rsidP="00153D09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t xml:space="preserve">With </w:t>
                  </w:r>
                  <w:r w:rsidR="00153D09" w:rsidRPr="00ED7977">
                    <w:rPr>
                      <w:b/>
                    </w:rPr>
                    <w:t>Sodium oxybate</w:t>
                  </w:r>
                  <w:r w:rsidRPr="00ED7977">
                    <w:rPr>
                      <w:b/>
                      <w:vertAlign w:val="superscript"/>
                    </w:rPr>
                    <w:t>8</w:t>
                  </w:r>
                </w:p>
                <w:p w:rsidR="00153D09" w:rsidRPr="009D574D" w:rsidRDefault="00153D09" w:rsidP="00153D09">
                  <w:pPr>
                    <w:pStyle w:val="ListParagraph"/>
                    <w:numPr>
                      <w:ilvl w:val="0"/>
                      <w:numId w:val="30"/>
                    </w:numPr>
                  </w:pPr>
                  <w:r w:rsidRPr="009D574D">
                    <w:t>Seizures</w:t>
                  </w:r>
                </w:p>
                <w:p w:rsidR="00153D09" w:rsidRPr="00ED7977" w:rsidRDefault="00ED7977" w:rsidP="00153D09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t xml:space="preserve">With </w:t>
                  </w:r>
                  <w:r w:rsidR="00153D09" w:rsidRPr="00ED7977">
                    <w:rPr>
                      <w:b/>
                    </w:rPr>
                    <w:t>Procarbazine</w:t>
                  </w:r>
                  <w:r w:rsidRPr="00ED7977">
                    <w:rPr>
                      <w:b/>
                      <w:vertAlign w:val="superscript"/>
                    </w:rPr>
                    <w:t>8</w:t>
                  </w:r>
                </w:p>
                <w:p w:rsidR="00153D09" w:rsidRPr="009D574D" w:rsidRDefault="00153D09" w:rsidP="00153D09">
                  <w:pPr>
                    <w:pStyle w:val="ListParagraph"/>
                    <w:numPr>
                      <w:ilvl w:val="0"/>
                      <w:numId w:val="30"/>
                    </w:numPr>
                  </w:pPr>
                  <w:r w:rsidRPr="009D574D">
                    <w:t>Hypertensive crisis</w:t>
                  </w:r>
                </w:p>
                <w:p w:rsidR="00153D09" w:rsidRPr="00ED7977" w:rsidRDefault="00ED7977" w:rsidP="00153D09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lastRenderedPageBreak/>
                    <w:t xml:space="preserve">With </w:t>
                  </w:r>
                  <w:r w:rsidR="00153D09" w:rsidRPr="00ED7977">
                    <w:rPr>
                      <w:b/>
                    </w:rPr>
                    <w:t>Guanethidine</w:t>
                  </w:r>
                  <w:r w:rsidRPr="00ED7977">
                    <w:rPr>
                      <w:b/>
                      <w:vertAlign w:val="superscript"/>
                    </w:rPr>
                    <w:t>8</w:t>
                  </w:r>
                </w:p>
                <w:p w:rsidR="00153D09" w:rsidRPr="009D574D" w:rsidRDefault="00153D09" w:rsidP="00153D09">
                  <w:pPr>
                    <w:pStyle w:val="ListParagraph"/>
                    <w:numPr>
                      <w:ilvl w:val="0"/>
                      <w:numId w:val="30"/>
                    </w:numPr>
                  </w:pPr>
                  <w:r w:rsidRPr="009D574D">
                    <w:t>Reduced neuronal blockade</w:t>
                  </w:r>
                </w:p>
                <w:p w:rsidR="00153D09" w:rsidRPr="00ED7977" w:rsidRDefault="00ED7977" w:rsidP="00153D09">
                  <w:pPr>
                    <w:rPr>
                      <w:b/>
                    </w:rPr>
                  </w:pPr>
                  <w:r w:rsidRPr="00ED7977">
                    <w:rPr>
                      <w:b/>
                    </w:rPr>
                    <w:t xml:space="preserve">With </w:t>
                  </w:r>
                  <w:r w:rsidR="00153D09" w:rsidRPr="00ED7977">
                    <w:rPr>
                      <w:b/>
                    </w:rPr>
                    <w:t>Ritonavir</w:t>
                  </w:r>
                  <w:r w:rsidRPr="00ED7977">
                    <w:rPr>
                      <w:b/>
                      <w:vertAlign w:val="superscript"/>
                    </w:rPr>
                    <w:t>9</w:t>
                  </w:r>
                </w:p>
                <w:p w:rsidR="00153D09" w:rsidRDefault="00153D09" w:rsidP="00153D09">
                  <w:pPr>
                    <w:pStyle w:val="ListParagraph"/>
                    <w:numPr>
                      <w:ilvl w:val="0"/>
                      <w:numId w:val="30"/>
                    </w:numPr>
                  </w:pPr>
                  <w:r w:rsidRPr="009D574D">
                    <w:t>Ritonavir may inhibit CYP2D6-mediated methamphetamine metabolism, increasing risk of toxicity</w:t>
                  </w:r>
                  <w:r>
                    <w:t xml:space="preserve"> </w:t>
                  </w:r>
                </w:p>
                <w:p w:rsidR="00ED7977" w:rsidRDefault="00ED7977" w:rsidP="00ED7977">
                  <w:r w:rsidRPr="009E49D0">
                    <w:rPr>
                      <w:b/>
                    </w:rPr>
                    <w:t>With Cannabis</w:t>
                  </w:r>
                  <w:r>
                    <w:t xml:space="preserve"> </w:t>
                  </w:r>
                  <w:r w:rsidRPr="007A5595">
                    <w:rPr>
                      <w:vertAlign w:val="superscript"/>
                    </w:rPr>
                    <w:t>3</w:t>
                  </w:r>
                </w:p>
                <w:p w:rsidR="00ED7977" w:rsidRDefault="00ED7977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Increased heart rate</w:t>
                  </w:r>
                </w:p>
                <w:p w:rsidR="00ED7977" w:rsidRDefault="00ED7977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Blood pressure increased with high doses of both drugs</w:t>
                  </w:r>
                </w:p>
                <w:p w:rsidR="00ED7977" w:rsidRDefault="00ED7977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Increased plasma level of cocaine</w:t>
                  </w:r>
                </w:p>
                <w:p w:rsidR="00ED7977" w:rsidRPr="002D2A7A" w:rsidRDefault="00ED7977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euphoria</w:t>
                  </w:r>
                </w:p>
                <w:p w:rsidR="00455DE5" w:rsidRDefault="00455DE5" w:rsidP="00ED7977">
                  <w:pPr>
                    <w:rPr>
                      <w:b/>
                    </w:rPr>
                  </w:pPr>
                </w:p>
                <w:p w:rsidR="00ED7977" w:rsidRPr="009E49D0" w:rsidRDefault="00ED7977" w:rsidP="00ED7977">
                  <w:pPr>
                    <w:rPr>
                      <w:b/>
                    </w:rPr>
                  </w:pPr>
                  <w:r>
                    <w:rPr>
                      <w:b/>
                    </w:rPr>
                    <w:t>With Al</w:t>
                  </w:r>
                  <w:r w:rsidRPr="009E49D0">
                    <w:rPr>
                      <w:b/>
                    </w:rPr>
                    <w:t>cohol</w:t>
                  </w:r>
                  <w:r>
                    <w:rPr>
                      <w:vertAlign w:val="superscript"/>
                    </w:rPr>
                    <w:t>5</w:t>
                  </w:r>
                </w:p>
                <w:p w:rsidR="00ED7977" w:rsidRPr="00153D09" w:rsidRDefault="00ED7977" w:rsidP="00ED797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 w:rsidRPr="002D2A7A">
                    <w:t xml:space="preserve">May reduce subjective effects of ethanol and may increase blood pressure </w:t>
                  </w:r>
                </w:p>
                <w:p w:rsidR="00ED7977" w:rsidRDefault="00ED7977" w:rsidP="00ED7977"/>
                <w:p w:rsidR="00153D09" w:rsidRDefault="00153D09" w:rsidP="00153D09"/>
              </w:tc>
            </w:tr>
          </w:tbl>
          <w:p w:rsidR="00153D09" w:rsidRPr="002D2A7A" w:rsidRDefault="00153D09" w:rsidP="00153D09"/>
        </w:tc>
      </w:tr>
      <w:tr w:rsidR="002D2A7A" w:rsidRPr="002D2A7A" w:rsidTr="00BA5666">
        <w:trPr>
          <w:trHeight w:val="375"/>
        </w:trPr>
        <w:tc>
          <w:tcPr>
            <w:tcW w:w="1809" w:type="dxa"/>
            <w:shd w:val="clear" w:color="auto" w:fill="17365D" w:themeFill="text2" w:themeFillShade="BF"/>
          </w:tcPr>
          <w:p w:rsidR="009E49D0" w:rsidRDefault="009E49D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9E49D0" w:rsidRDefault="009E49D0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8D71A3" w:rsidRDefault="008D71A3" w:rsidP="00FC3280">
            <w:pPr>
              <w:jc w:val="center"/>
              <w:rPr>
                <w:rFonts w:ascii="Trebuchet MS" w:hAnsi="Trebuchet MS"/>
                <w:b/>
              </w:rPr>
            </w:pPr>
          </w:p>
          <w:p w:rsidR="001D5B96" w:rsidRPr="00FC3280" w:rsidRDefault="001D5B96" w:rsidP="00FC3280">
            <w:pPr>
              <w:jc w:val="center"/>
              <w:rPr>
                <w:rFonts w:ascii="Trebuchet MS" w:hAnsi="Trebuchet MS"/>
                <w:b/>
              </w:rPr>
            </w:pPr>
            <w:r w:rsidRPr="00FC3280">
              <w:rPr>
                <w:rFonts w:ascii="Trebuchet MS" w:hAnsi="Trebuchet MS"/>
                <w:b/>
              </w:rPr>
              <w:t>Psychiatric effects</w:t>
            </w:r>
          </w:p>
        </w:tc>
        <w:tc>
          <w:tcPr>
            <w:tcW w:w="9443" w:type="dxa"/>
          </w:tcPr>
          <w:p w:rsidR="00653B1C" w:rsidRPr="002D2A7A" w:rsidRDefault="00653B1C" w:rsidP="00653B1C">
            <w:pPr>
              <w:pStyle w:val="ListParagraph"/>
              <w:numPr>
                <w:ilvl w:val="0"/>
                <w:numId w:val="3"/>
              </w:numPr>
            </w:pPr>
            <w:r w:rsidRPr="002D2A7A">
              <w:t>Stimulants can cause euphoria, exhilaration, alertness, improved task performance, and exacerbation of obsessive-compulsive symptoms</w:t>
            </w:r>
            <w:r w:rsidRPr="002D2A7A">
              <w:rPr>
                <w:vertAlign w:val="superscript"/>
              </w:rPr>
              <w:t>.3</w:t>
            </w:r>
          </w:p>
          <w:p w:rsidR="00AD5595" w:rsidRPr="002D2A7A" w:rsidRDefault="00AD5595" w:rsidP="001D5B96">
            <w:pPr>
              <w:pStyle w:val="ListParagraph"/>
              <w:numPr>
                <w:ilvl w:val="0"/>
                <w:numId w:val="3"/>
              </w:numPr>
            </w:pPr>
            <w:r w:rsidRPr="002D2A7A">
              <w:t>Amphetamines can cause nervousness, anxiety, insomnia, irritability, restlessness, panic, impulsive or aggressive behaviour</w:t>
            </w:r>
            <w:r w:rsidRPr="002D2A7A">
              <w:rPr>
                <w:vertAlign w:val="superscript"/>
              </w:rPr>
              <w:t>3</w:t>
            </w:r>
          </w:p>
          <w:p w:rsidR="00653B1C" w:rsidRPr="002D2A7A" w:rsidRDefault="00653B1C" w:rsidP="001D5B96">
            <w:pPr>
              <w:pStyle w:val="ListParagraph"/>
              <w:numPr>
                <w:ilvl w:val="0"/>
                <w:numId w:val="3"/>
              </w:numPr>
            </w:pPr>
            <w:r w:rsidRPr="002D2A7A">
              <w:t>Methamphetamine may induce anxiety, agitation, confusion, insomnia, delirium, hallucinations, paranoia, and aggressive behaviour</w:t>
            </w:r>
            <w:r w:rsidRPr="008048DC">
              <w:rPr>
                <w:sz w:val="24"/>
                <w:vertAlign w:val="superscript"/>
              </w:rPr>
              <w:t xml:space="preserve">3 </w:t>
            </w:r>
          </w:p>
          <w:p w:rsidR="001D5B96" w:rsidRPr="002D2A7A" w:rsidRDefault="001D5B96" w:rsidP="00BA34B0"/>
        </w:tc>
      </w:tr>
    </w:tbl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596C38" w:rsidRDefault="00596C38" w:rsidP="009E49D0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</w:p>
    <w:p w:rsidR="00D6181F" w:rsidRDefault="00D6181F" w:rsidP="00D6181F">
      <w:pPr>
        <w:pStyle w:val="NoSpacing"/>
        <w:rPr>
          <w:rFonts w:ascii="Trebuchet MS" w:hAnsi="Trebuchet MS"/>
          <w:b/>
          <w:sz w:val="36"/>
          <w:szCs w:val="16"/>
          <w:lang w:eastAsia="en-CA"/>
        </w:rPr>
      </w:pPr>
    </w:p>
    <w:p w:rsidR="009E49D0" w:rsidRPr="00191A77" w:rsidRDefault="009E49D0" w:rsidP="00D6181F">
      <w:pPr>
        <w:pStyle w:val="NoSpacing"/>
        <w:jc w:val="center"/>
        <w:rPr>
          <w:rFonts w:ascii="Trebuchet MS" w:hAnsi="Trebuchet MS"/>
          <w:b/>
          <w:sz w:val="36"/>
          <w:szCs w:val="16"/>
          <w:lang w:eastAsia="en-CA"/>
        </w:rPr>
      </w:pPr>
      <w:r w:rsidRPr="00191A77">
        <w:rPr>
          <w:rFonts w:ascii="Trebuchet MS" w:hAnsi="Trebuchet MS"/>
          <w:b/>
          <w:sz w:val="36"/>
          <w:szCs w:val="16"/>
          <w:lang w:eastAsia="en-CA"/>
        </w:rPr>
        <w:lastRenderedPageBreak/>
        <w:t>References</w:t>
      </w:r>
    </w:p>
    <w:p w:rsidR="006E5252" w:rsidRPr="002D2A7A" w:rsidRDefault="006E5252" w:rsidP="006E5252">
      <w:pPr>
        <w:pStyle w:val="NoSpacing"/>
        <w:ind w:left="720"/>
      </w:pPr>
    </w:p>
    <w:p w:rsidR="001D5B96" w:rsidRPr="000428EF" w:rsidRDefault="001D5B96" w:rsidP="006E5252">
      <w:pPr>
        <w:pStyle w:val="NoSpacing"/>
        <w:numPr>
          <w:ilvl w:val="0"/>
          <w:numId w:val="17"/>
        </w:numPr>
      </w:pPr>
      <w:proofErr w:type="spellStart"/>
      <w:r w:rsidRPr="000428EF">
        <w:t>Kahan</w:t>
      </w:r>
      <w:proofErr w:type="spellEnd"/>
      <w:r w:rsidRPr="000428EF">
        <w:t xml:space="preserve">, M. (2014). Physical Effects of Alcohol and Other Drugs. In </w:t>
      </w:r>
      <w:proofErr w:type="spellStart"/>
      <w:r w:rsidRPr="000428EF">
        <w:t>M.Herie</w:t>
      </w:r>
      <w:proofErr w:type="spellEnd"/>
      <w:r w:rsidRPr="000428EF">
        <w:t xml:space="preserve"> &amp; W. Skinner (Ed.), </w:t>
      </w:r>
      <w:r w:rsidRPr="000428EF">
        <w:rPr>
          <w:i/>
        </w:rPr>
        <w:t>Fundamentals of Addiction: A Practical Guide for Counsellors</w:t>
      </w:r>
      <w:r w:rsidRPr="000428EF">
        <w:t xml:space="preserve"> (4th ed., pp. xiii-xviii). Canada: Centre for Addiction and Mental Health.</w:t>
      </w:r>
    </w:p>
    <w:p w:rsidR="009510FE" w:rsidRPr="000428EF" w:rsidRDefault="001D5B96" w:rsidP="009510FE">
      <w:pPr>
        <w:pStyle w:val="NoSpacing"/>
        <w:numPr>
          <w:ilvl w:val="0"/>
          <w:numId w:val="17"/>
        </w:numPr>
      </w:pPr>
      <w:r w:rsidRPr="000428EF">
        <w:t xml:space="preserve">Publishers Group West. (2015). </w:t>
      </w:r>
      <w:proofErr w:type="spellStart"/>
      <w:r w:rsidRPr="000428EF">
        <w:rPr>
          <w:rStyle w:val="Emphasis"/>
        </w:rPr>
        <w:t>Streetdrugs</w:t>
      </w:r>
      <w:proofErr w:type="spellEnd"/>
      <w:r w:rsidRPr="000428EF">
        <w:rPr>
          <w:rStyle w:val="Emphasis"/>
        </w:rPr>
        <w:t xml:space="preserve">: a drug identification guide. </w:t>
      </w:r>
      <w:r w:rsidRPr="000428EF">
        <w:t>Long Lake</w:t>
      </w:r>
      <w:r w:rsidR="009510FE" w:rsidRPr="000428EF">
        <w:t>: Publishers group West, LLC</w:t>
      </w:r>
    </w:p>
    <w:p w:rsidR="001D5B96" w:rsidRPr="000428EF" w:rsidRDefault="001D5B96" w:rsidP="006E5252">
      <w:pPr>
        <w:pStyle w:val="NoSpacing"/>
        <w:numPr>
          <w:ilvl w:val="0"/>
          <w:numId w:val="17"/>
        </w:numPr>
      </w:pPr>
      <w:proofErr w:type="spellStart"/>
      <w:r w:rsidRPr="000428EF">
        <w:t>Bezchlibnyk</w:t>
      </w:r>
      <w:proofErr w:type="spellEnd"/>
      <w:r w:rsidRPr="000428EF">
        <w:t xml:space="preserve">-Butler, K., Jeffries, J., </w:t>
      </w:r>
      <w:proofErr w:type="spellStart"/>
      <w:r w:rsidRPr="000428EF">
        <w:t>Procyshyn</w:t>
      </w:r>
      <w:proofErr w:type="spellEnd"/>
      <w:r w:rsidRPr="000428EF">
        <w:t>, R., Virani, A. (2014). Clinical Handbook of Psychotropic Drugs (20</w:t>
      </w:r>
      <w:r w:rsidRPr="000428EF">
        <w:rPr>
          <w:vertAlign w:val="superscript"/>
        </w:rPr>
        <w:t>th</w:t>
      </w:r>
      <w:r w:rsidRPr="000428EF">
        <w:t xml:space="preserve"> </w:t>
      </w:r>
      <w:proofErr w:type="spellStart"/>
      <w:proofErr w:type="gramStart"/>
      <w:r w:rsidRPr="000428EF">
        <w:t>ed</w:t>
      </w:r>
      <w:proofErr w:type="spellEnd"/>
      <w:proofErr w:type="gramEnd"/>
      <w:r w:rsidRPr="000428EF">
        <w:t xml:space="preserve">). </w:t>
      </w:r>
      <w:r w:rsidR="000428EF" w:rsidRPr="000428EF">
        <w:t xml:space="preserve">Toronto: </w:t>
      </w:r>
      <w:proofErr w:type="spellStart"/>
      <w:r w:rsidRPr="000428EF">
        <w:t>Hogrefe</w:t>
      </w:r>
      <w:proofErr w:type="spellEnd"/>
      <w:r w:rsidRPr="000428EF">
        <w:t xml:space="preserve"> Publishing</w:t>
      </w:r>
    </w:p>
    <w:p w:rsidR="009510FE" w:rsidRPr="000428EF" w:rsidRDefault="009510FE" w:rsidP="009510FE">
      <w:pPr>
        <w:pStyle w:val="NoSpacing"/>
        <w:numPr>
          <w:ilvl w:val="0"/>
          <w:numId w:val="17"/>
        </w:numPr>
      </w:pPr>
      <w:r w:rsidRPr="000428EF">
        <w:t>U.S. Department of Justice Drug Enforcement Administration</w:t>
      </w:r>
      <w:proofErr w:type="gramStart"/>
      <w:r w:rsidRPr="000428EF">
        <w:t>.(</w:t>
      </w:r>
      <w:proofErr w:type="gramEnd"/>
      <w:r w:rsidRPr="000428EF">
        <w:t>2011). Drugs of Abuse. Retrieved on February 23, 2015, from http://www.dea.gov/pr/multimedialibrary/publications/drug_of_abuse.pdf</w:t>
      </w:r>
    </w:p>
    <w:p w:rsidR="009510FE" w:rsidRPr="000428EF" w:rsidRDefault="009E672B" w:rsidP="009E672B">
      <w:pPr>
        <w:pStyle w:val="NoSpacing"/>
        <w:numPr>
          <w:ilvl w:val="0"/>
          <w:numId w:val="17"/>
        </w:numPr>
      </w:pPr>
      <w:r w:rsidRPr="000428EF">
        <w:t>Dean</w:t>
      </w:r>
      <w:r w:rsidR="000428EF" w:rsidRPr="000428EF">
        <w:t>, A</w:t>
      </w:r>
      <w:r w:rsidRPr="000428EF">
        <w:t xml:space="preserve">. (2006). Illicit Drugs and Drug Interactions. Volume 25, Number 9. Retrieved on February 23, 2015 from </w:t>
      </w:r>
      <w:r w:rsidR="00153D09" w:rsidRPr="000428EF">
        <w:t>https://www.erowid.org/psychoactives/health/health_article1.pdf</w:t>
      </w:r>
    </w:p>
    <w:p w:rsidR="00153D09" w:rsidRPr="000428EF" w:rsidRDefault="00153D09" w:rsidP="00153D09">
      <w:pPr>
        <w:pStyle w:val="NormalWeb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0428EF">
        <w:rPr>
          <w:rFonts w:asciiTheme="minorHAnsi" w:hAnsiTheme="minorHAnsi"/>
          <w:sz w:val="22"/>
          <w:szCs w:val="22"/>
        </w:rPr>
        <w:t>Sussex Partnership NHS Foundation Trust.</w:t>
      </w:r>
      <w:r w:rsidR="000428EF" w:rsidRPr="000428EF">
        <w:rPr>
          <w:rFonts w:asciiTheme="minorHAnsi" w:hAnsiTheme="minorHAnsi"/>
          <w:sz w:val="22"/>
          <w:szCs w:val="22"/>
        </w:rPr>
        <w:t xml:space="preserve"> (2014).</w:t>
      </w:r>
      <w:r w:rsidRPr="000428EF">
        <w:rPr>
          <w:rFonts w:asciiTheme="minorHAnsi" w:hAnsiTheme="minorHAnsi"/>
          <w:sz w:val="22"/>
          <w:szCs w:val="22"/>
        </w:rPr>
        <w:t xml:space="preserve"> </w:t>
      </w:r>
      <w:r w:rsidRPr="000428EF">
        <w:rPr>
          <w:rFonts w:asciiTheme="minorHAnsi" w:hAnsiTheme="minorHAnsi"/>
          <w:i/>
          <w:iCs/>
          <w:sz w:val="22"/>
          <w:szCs w:val="22"/>
        </w:rPr>
        <w:t xml:space="preserve">Psychotropic Drug Interactions </w:t>
      </w:r>
      <w:proofErr w:type="gramStart"/>
      <w:r w:rsidRPr="000428EF">
        <w:rPr>
          <w:rFonts w:asciiTheme="minorHAnsi" w:hAnsiTheme="minorHAnsi"/>
          <w:i/>
          <w:iCs/>
          <w:sz w:val="22"/>
          <w:szCs w:val="22"/>
        </w:rPr>
        <w:t>With</w:t>
      </w:r>
      <w:proofErr w:type="gramEnd"/>
      <w:r w:rsidRPr="000428EF">
        <w:rPr>
          <w:rFonts w:asciiTheme="minorHAnsi" w:hAnsiTheme="minorHAnsi"/>
          <w:i/>
          <w:iCs/>
          <w:sz w:val="22"/>
          <w:szCs w:val="22"/>
        </w:rPr>
        <w:t xml:space="preserve"> Illegal Drugs/Non-Drugs</w:t>
      </w:r>
      <w:r w:rsidRPr="000428EF">
        <w:rPr>
          <w:rFonts w:asciiTheme="minorHAnsi" w:hAnsiTheme="minorHAnsi"/>
          <w:sz w:val="22"/>
          <w:szCs w:val="22"/>
        </w:rPr>
        <w:t>.</w:t>
      </w:r>
      <w:r w:rsidR="000428EF" w:rsidRPr="000428EF">
        <w:rPr>
          <w:rFonts w:asciiTheme="minorHAnsi" w:hAnsiTheme="minorHAnsi"/>
          <w:sz w:val="22"/>
          <w:szCs w:val="22"/>
        </w:rPr>
        <w:t xml:space="preserve"> </w:t>
      </w:r>
      <w:r w:rsidR="008D71A3" w:rsidRPr="000428EF">
        <w:rPr>
          <w:rFonts w:asciiTheme="minorHAnsi" w:hAnsiTheme="minorHAnsi"/>
          <w:sz w:val="22"/>
          <w:szCs w:val="22"/>
        </w:rPr>
        <w:t>Retrieved</w:t>
      </w:r>
      <w:r w:rsidR="000428EF" w:rsidRPr="000428EF">
        <w:rPr>
          <w:rFonts w:asciiTheme="minorHAnsi" w:hAnsiTheme="minorHAnsi"/>
          <w:sz w:val="22"/>
          <w:szCs w:val="22"/>
        </w:rPr>
        <w:t xml:space="preserve"> on March 3, 2015,</w:t>
      </w:r>
      <w:r w:rsidR="008D71A3" w:rsidRPr="000428EF">
        <w:rPr>
          <w:rFonts w:asciiTheme="minorHAnsi" w:hAnsiTheme="minorHAnsi"/>
          <w:sz w:val="22"/>
          <w:szCs w:val="22"/>
        </w:rPr>
        <w:t xml:space="preserve"> from </w:t>
      </w:r>
      <w:r w:rsidRPr="000428EF">
        <w:rPr>
          <w:rFonts w:asciiTheme="minorHAnsi" w:hAnsiTheme="minorHAnsi"/>
          <w:sz w:val="22"/>
          <w:szCs w:val="22"/>
        </w:rPr>
        <w:t>http://www.sussexpartnership.nhs.uk/sites/default/files/documents/</w:t>
      </w:r>
      <w:r w:rsidR="000428EF" w:rsidRPr="000428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428EF">
        <w:rPr>
          <w:rFonts w:asciiTheme="minorHAnsi" w:hAnsiTheme="minorHAnsi"/>
          <w:sz w:val="22"/>
          <w:szCs w:val="22"/>
        </w:rPr>
        <w:t>psychotropics_and</w:t>
      </w:r>
      <w:proofErr w:type="spellEnd"/>
      <w:r w:rsidR="008D71A3" w:rsidRPr="000428EF">
        <w:rPr>
          <w:rFonts w:asciiTheme="minorHAnsi" w:hAnsiTheme="minorHAnsi"/>
          <w:sz w:val="22"/>
          <w:szCs w:val="22"/>
        </w:rPr>
        <w:t xml:space="preserve"> </w:t>
      </w:r>
      <w:r w:rsidRPr="000428EF">
        <w:rPr>
          <w:rFonts w:asciiTheme="minorHAnsi" w:hAnsiTheme="minorHAnsi"/>
          <w:sz w:val="22"/>
          <w:szCs w:val="22"/>
        </w:rPr>
        <w:t>_non_drug_interactions_-_feb_14_0.pdf. Accessed March 22, 2015.</w:t>
      </w:r>
    </w:p>
    <w:p w:rsidR="00153D09" w:rsidRPr="000428EF" w:rsidRDefault="00153D09" w:rsidP="00153D09">
      <w:pPr>
        <w:pStyle w:val="ListParagraph"/>
        <w:numPr>
          <w:ilvl w:val="0"/>
          <w:numId w:val="17"/>
        </w:numPr>
        <w:spacing w:after="0"/>
      </w:pPr>
      <w:r w:rsidRPr="000428EF">
        <w:t>Prior</w:t>
      </w:r>
      <w:r w:rsidR="000428EF" w:rsidRPr="000428EF">
        <w:t>,</w:t>
      </w:r>
      <w:r w:rsidRPr="000428EF">
        <w:t xml:space="preserve"> F</w:t>
      </w:r>
      <w:r w:rsidR="000428EF" w:rsidRPr="000428EF">
        <w:t>.</w:t>
      </w:r>
      <w:r w:rsidRPr="000428EF">
        <w:t>H</w:t>
      </w:r>
      <w:r w:rsidR="000428EF" w:rsidRPr="000428EF">
        <w:t>.</w:t>
      </w:r>
      <w:r w:rsidRPr="000428EF">
        <w:t xml:space="preserve">, </w:t>
      </w:r>
      <w:proofErr w:type="spellStart"/>
      <w:r w:rsidRPr="000428EF">
        <w:t>Isbister</w:t>
      </w:r>
      <w:proofErr w:type="spellEnd"/>
      <w:r w:rsidR="000428EF" w:rsidRPr="000428EF">
        <w:t>,</w:t>
      </w:r>
      <w:r w:rsidRPr="000428EF">
        <w:t xml:space="preserve"> G</w:t>
      </w:r>
      <w:r w:rsidR="000428EF" w:rsidRPr="000428EF">
        <w:t>.</w:t>
      </w:r>
      <w:r w:rsidRPr="000428EF">
        <w:t>K</w:t>
      </w:r>
      <w:r w:rsidR="000428EF" w:rsidRPr="000428EF">
        <w:t>.</w:t>
      </w:r>
      <w:r w:rsidRPr="000428EF">
        <w:t>, Dawson</w:t>
      </w:r>
      <w:r w:rsidR="000428EF" w:rsidRPr="000428EF">
        <w:t>,</w:t>
      </w:r>
      <w:r w:rsidRPr="000428EF">
        <w:t xml:space="preserve"> A</w:t>
      </w:r>
      <w:r w:rsidR="000428EF" w:rsidRPr="000428EF">
        <w:t>.</w:t>
      </w:r>
      <w:r w:rsidRPr="000428EF">
        <w:t>H</w:t>
      </w:r>
      <w:r w:rsidR="000428EF" w:rsidRPr="000428EF">
        <w:t>.</w:t>
      </w:r>
      <w:r w:rsidRPr="000428EF">
        <w:t>, Whyte</w:t>
      </w:r>
      <w:r w:rsidR="000428EF" w:rsidRPr="000428EF">
        <w:t>,</w:t>
      </w:r>
      <w:r w:rsidRPr="000428EF">
        <w:t xml:space="preserve"> I</w:t>
      </w:r>
      <w:r w:rsidR="000428EF" w:rsidRPr="000428EF">
        <w:t>.</w:t>
      </w:r>
      <w:r w:rsidRPr="000428EF">
        <w:t>M.</w:t>
      </w:r>
      <w:r w:rsidR="008D71A3" w:rsidRPr="000428EF">
        <w:t xml:space="preserve"> (2002).</w:t>
      </w:r>
      <w:r w:rsidRPr="000428EF">
        <w:t xml:space="preserve"> Serotonin toxicity with therapeutic doses of dexamphetamine and venlafaxine. </w:t>
      </w:r>
      <w:r w:rsidRPr="000428EF">
        <w:rPr>
          <w:i/>
        </w:rPr>
        <w:t xml:space="preserve">Med J </w:t>
      </w:r>
      <w:proofErr w:type="spellStart"/>
      <w:r w:rsidRPr="000428EF">
        <w:rPr>
          <w:i/>
        </w:rPr>
        <w:t>Aust</w:t>
      </w:r>
      <w:proofErr w:type="spellEnd"/>
      <w:r w:rsidR="008D71A3" w:rsidRPr="000428EF">
        <w:t xml:space="preserve">, </w:t>
      </w:r>
      <w:r w:rsidRPr="000428EF">
        <w:t>176(5)</w:t>
      </w:r>
      <w:r w:rsidR="008D71A3" w:rsidRPr="000428EF">
        <w:t xml:space="preserve">, </w:t>
      </w:r>
      <w:r w:rsidRPr="000428EF">
        <w:t>240-1.</w:t>
      </w:r>
    </w:p>
    <w:p w:rsidR="00153D09" w:rsidRPr="000428EF" w:rsidRDefault="00153D09" w:rsidP="00153D09">
      <w:pPr>
        <w:pStyle w:val="NormalWeb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0428EF">
        <w:rPr>
          <w:rFonts w:asciiTheme="minorHAnsi" w:hAnsiTheme="minorHAnsi"/>
          <w:sz w:val="22"/>
          <w:szCs w:val="22"/>
        </w:rPr>
        <w:t>Lindsey</w:t>
      </w:r>
      <w:r w:rsidR="000428EF" w:rsidRPr="000428EF">
        <w:rPr>
          <w:rFonts w:asciiTheme="minorHAnsi" w:hAnsiTheme="minorHAnsi"/>
          <w:sz w:val="22"/>
          <w:szCs w:val="22"/>
        </w:rPr>
        <w:t>,</w:t>
      </w:r>
      <w:r w:rsidRPr="000428EF">
        <w:rPr>
          <w:rFonts w:asciiTheme="minorHAnsi" w:hAnsiTheme="minorHAnsi"/>
          <w:sz w:val="22"/>
          <w:szCs w:val="22"/>
        </w:rPr>
        <w:t xml:space="preserve"> W</w:t>
      </w:r>
      <w:r w:rsidR="000428EF" w:rsidRPr="000428EF">
        <w:rPr>
          <w:rFonts w:asciiTheme="minorHAnsi" w:hAnsiTheme="minorHAnsi"/>
          <w:sz w:val="22"/>
          <w:szCs w:val="22"/>
        </w:rPr>
        <w:t>.</w:t>
      </w:r>
      <w:r w:rsidRPr="000428EF">
        <w:rPr>
          <w:rFonts w:asciiTheme="minorHAnsi" w:hAnsiTheme="minorHAnsi"/>
          <w:sz w:val="22"/>
          <w:szCs w:val="22"/>
        </w:rPr>
        <w:t>T</w:t>
      </w:r>
      <w:r w:rsidR="000428EF" w:rsidRPr="000428EF">
        <w:rPr>
          <w:rFonts w:asciiTheme="minorHAnsi" w:hAnsiTheme="minorHAnsi"/>
          <w:sz w:val="22"/>
          <w:szCs w:val="22"/>
        </w:rPr>
        <w:t>.</w:t>
      </w:r>
      <w:r w:rsidRPr="000428EF">
        <w:rPr>
          <w:rFonts w:asciiTheme="minorHAnsi" w:hAnsiTheme="minorHAnsi"/>
          <w:sz w:val="22"/>
          <w:szCs w:val="22"/>
        </w:rPr>
        <w:t>, Stewart</w:t>
      </w:r>
      <w:r w:rsidR="000428EF" w:rsidRPr="000428EF">
        <w:rPr>
          <w:rFonts w:asciiTheme="minorHAnsi" w:hAnsiTheme="minorHAnsi"/>
          <w:sz w:val="22"/>
          <w:szCs w:val="22"/>
        </w:rPr>
        <w:t>,</w:t>
      </w:r>
      <w:r w:rsidRPr="000428EF">
        <w:rPr>
          <w:rFonts w:asciiTheme="minorHAnsi" w:hAnsiTheme="minorHAnsi"/>
          <w:sz w:val="22"/>
          <w:szCs w:val="22"/>
        </w:rPr>
        <w:t xml:space="preserve"> D</w:t>
      </w:r>
      <w:r w:rsidR="000428EF" w:rsidRPr="000428EF">
        <w:rPr>
          <w:rFonts w:asciiTheme="minorHAnsi" w:hAnsiTheme="minorHAnsi"/>
          <w:sz w:val="22"/>
          <w:szCs w:val="22"/>
        </w:rPr>
        <w:t>.</w:t>
      </w:r>
      <w:r w:rsidRPr="000428EF">
        <w:rPr>
          <w:rFonts w:asciiTheme="minorHAnsi" w:hAnsiTheme="minorHAnsi"/>
          <w:sz w:val="22"/>
          <w:szCs w:val="22"/>
        </w:rPr>
        <w:t>, Childress</w:t>
      </w:r>
      <w:r w:rsidR="000428EF" w:rsidRPr="000428EF">
        <w:rPr>
          <w:rFonts w:asciiTheme="minorHAnsi" w:hAnsiTheme="minorHAnsi"/>
          <w:sz w:val="22"/>
          <w:szCs w:val="22"/>
        </w:rPr>
        <w:t>,</w:t>
      </w:r>
      <w:r w:rsidRPr="000428EF">
        <w:rPr>
          <w:rFonts w:asciiTheme="minorHAnsi" w:hAnsiTheme="minorHAnsi"/>
          <w:sz w:val="22"/>
          <w:szCs w:val="22"/>
        </w:rPr>
        <w:t xml:space="preserve"> D.</w:t>
      </w:r>
      <w:r w:rsidR="000428EF" w:rsidRPr="000428EF">
        <w:rPr>
          <w:rFonts w:asciiTheme="minorHAnsi" w:hAnsiTheme="minorHAnsi"/>
          <w:sz w:val="22"/>
          <w:szCs w:val="22"/>
        </w:rPr>
        <w:t xml:space="preserve"> (2012).</w:t>
      </w:r>
      <w:r w:rsidRPr="000428EF">
        <w:rPr>
          <w:rFonts w:asciiTheme="minorHAnsi" w:hAnsiTheme="minorHAnsi"/>
          <w:sz w:val="22"/>
          <w:szCs w:val="22"/>
        </w:rPr>
        <w:t xml:space="preserve"> Drug interactions between common illicit drugs and prescription therapies. </w:t>
      </w:r>
      <w:r w:rsidRPr="000428EF">
        <w:rPr>
          <w:rFonts w:asciiTheme="minorHAnsi" w:hAnsiTheme="minorHAnsi"/>
          <w:i/>
          <w:sz w:val="22"/>
          <w:szCs w:val="22"/>
        </w:rPr>
        <w:t>Am J Drug Alcohol Abuse</w:t>
      </w:r>
      <w:r w:rsidR="000428EF" w:rsidRPr="000428EF">
        <w:rPr>
          <w:rFonts w:asciiTheme="minorHAnsi" w:hAnsiTheme="minorHAnsi"/>
          <w:sz w:val="22"/>
          <w:szCs w:val="22"/>
        </w:rPr>
        <w:t xml:space="preserve">. </w:t>
      </w:r>
      <w:r w:rsidRPr="000428EF">
        <w:rPr>
          <w:rFonts w:asciiTheme="minorHAnsi" w:hAnsiTheme="minorHAnsi"/>
          <w:sz w:val="22"/>
          <w:szCs w:val="22"/>
        </w:rPr>
        <w:t>38(4)</w:t>
      </w:r>
      <w:r w:rsidR="000428EF" w:rsidRPr="000428EF">
        <w:rPr>
          <w:rFonts w:asciiTheme="minorHAnsi" w:hAnsiTheme="minorHAnsi"/>
          <w:sz w:val="22"/>
          <w:szCs w:val="22"/>
        </w:rPr>
        <w:t xml:space="preserve">, </w:t>
      </w:r>
      <w:r w:rsidRPr="000428EF">
        <w:rPr>
          <w:rFonts w:asciiTheme="minorHAnsi" w:hAnsiTheme="minorHAnsi"/>
          <w:sz w:val="22"/>
          <w:szCs w:val="22"/>
        </w:rPr>
        <w:t xml:space="preserve">334-43. </w:t>
      </w:r>
    </w:p>
    <w:p w:rsidR="000428EF" w:rsidRPr="000428EF" w:rsidRDefault="000428EF" w:rsidP="00ED7977">
      <w:pPr>
        <w:pStyle w:val="ListParagraph"/>
        <w:numPr>
          <w:ilvl w:val="0"/>
          <w:numId w:val="17"/>
        </w:numPr>
        <w:spacing w:after="0"/>
        <w:rPr>
          <w:rStyle w:val="Hyperlink"/>
          <w:color w:val="auto"/>
          <w:u w:val="none"/>
        </w:rPr>
      </w:pPr>
      <w:r w:rsidRPr="000428EF">
        <w:rPr>
          <w:rFonts w:cs="Arial"/>
          <w:color w:val="222222"/>
          <w:shd w:val="clear" w:color="auto" w:fill="FFFFFF"/>
        </w:rPr>
        <w:t>Hales, G., Roth, N., &amp; Smith, D. (2000). Possible fatal interaction between protease inhibitors and methamphetamine.</w:t>
      </w:r>
      <w:r w:rsidRPr="000428EF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0428EF">
        <w:rPr>
          <w:rFonts w:cs="Arial"/>
          <w:i/>
          <w:iCs/>
          <w:color w:val="222222"/>
          <w:shd w:val="clear" w:color="auto" w:fill="FFFFFF"/>
        </w:rPr>
        <w:t>Antiviral therapy</w:t>
      </w:r>
      <w:r w:rsidRPr="000428EF">
        <w:rPr>
          <w:rFonts w:cs="Arial"/>
          <w:color w:val="222222"/>
          <w:shd w:val="clear" w:color="auto" w:fill="FFFFFF"/>
        </w:rPr>
        <w:t>,</w:t>
      </w:r>
      <w:r w:rsidRPr="000428EF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0428EF">
        <w:rPr>
          <w:rFonts w:cs="Arial"/>
          <w:i/>
          <w:iCs/>
          <w:color w:val="222222"/>
          <w:shd w:val="clear" w:color="auto" w:fill="FFFFFF"/>
        </w:rPr>
        <w:t>5</w:t>
      </w:r>
      <w:r w:rsidRPr="000428EF">
        <w:rPr>
          <w:rFonts w:cs="Arial"/>
          <w:color w:val="222222"/>
          <w:shd w:val="clear" w:color="auto" w:fill="FFFFFF"/>
        </w:rPr>
        <w:t>(1), 19-22.</w:t>
      </w:r>
      <w:r w:rsidRPr="000428EF">
        <w:rPr>
          <w:rStyle w:val="Hyperlink"/>
          <w:rFonts w:cs="Times New Roman"/>
          <w:color w:val="auto"/>
          <w:u w:val="none"/>
        </w:rPr>
        <w:t xml:space="preserve"> </w:t>
      </w:r>
    </w:p>
    <w:p w:rsidR="00BA5666" w:rsidRPr="000428EF" w:rsidRDefault="00BA5666" w:rsidP="00ED7977">
      <w:pPr>
        <w:pStyle w:val="ListParagraph"/>
        <w:numPr>
          <w:ilvl w:val="0"/>
          <w:numId w:val="17"/>
        </w:numPr>
        <w:spacing w:after="0"/>
      </w:pPr>
      <w:r w:rsidRPr="000428EF">
        <w:rPr>
          <w:rStyle w:val="Hyperlink"/>
          <w:rFonts w:cs="Times New Roman"/>
          <w:color w:val="auto"/>
          <w:u w:val="none"/>
        </w:rPr>
        <w:t xml:space="preserve">Townsend, M.C. (2015). </w:t>
      </w:r>
      <w:r w:rsidRPr="000428EF">
        <w:rPr>
          <w:rStyle w:val="Hyperlink"/>
          <w:rFonts w:cs="Times New Roman"/>
          <w:i/>
          <w:color w:val="auto"/>
          <w:u w:val="none"/>
        </w:rPr>
        <w:t>Psychiatric Nursing: Assessme</w:t>
      </w:r>
      <w:bookmarkStart w:id="0" w:name="_GoBack"/>
      <w:bookmarkEnd w:id="0"/>
      <w:r w:rsidRPr="000428EF">
        <w:rPr>
          <w:rStyle w:val="Hyperlink"/>
          <w:rFonts w:cs="Times New Roman"/>
          <w:i/>
          <w:color w:val="auto"/>
          <w:u w:val="none"/>
        </w:rPr>
        <w:t xml:space="preserve">nt, Care Plans, and Medications. </w:t>
      </w:r>
      <w:r w:rsidRPr="000428EF">
        <w:rPr>
          <w:rStyle w:val="Hyperlink"/>
          <w:rFonts w:cs="Times New Roman"/>
          <w:color w:val="auto"/>
          <w:u w:val="none"/>
        </w:rPr>
        <w:t>Oklahoma: F.A. Davis Company</w:t>
      </w:r>
      <w:r w:rsidRPr="000428EF">
        <w:rPr>
          <w:rStyle w:val="Hyperlink"/>
          <w:rFonts w:cs="Times New Roman"/>
          <w:u w:val="none"/>
        </w:rPr>
        <w:t>.</w:t>
      </w:r>
    </w:p>
    <w:p w:rsidR="00153D09" w:rsidRPr="002D2A7A" w:rsidRDefault="00153D09" w:rsidP="00ED7977">
      <w:pPr>
        <w:pStyle w:val="NoSpacing"/>
        <w:ind w:left="720"/>
      </w:pPr>
    </w:p>
    <w:p w:rsidR="009E672B" w:rsidRPr="002D2A7A" w:rsidRDefault="009E672B" w:rsidP="00085511">
      <w:pPr>
        <w:pStyle w:val="NoSpacing"/>
        <w:ind w:left="720"/>
      </w:pPr>
    </w:p>
    <w:p w:rsidR="009E672B" w:rsidRPr="002D2A7A" w:rsidRDefault="009E672B" w:rsidP="009E672B">
      <w:pPr>
        <w:pStyle w:val="NoSpacing"/>
        <w:ind w:left="720"/>
      </w:pPr>
    </w:p>
    <w:p w:rsidR="009510FE" w:rsidRPr="002D2A7A" w:rsidRDefault="009510FE" w:rsidP="009510FE">
      <w:pPr>
        <w:pStyle w:val="NoSpacing"/>
        <w:ind w:left="720"/>
      </w:pPr>
    </w:p>
    <w:p w:rsidR="009510FE" w:rsidRPr="002D2A7A" w:rsidRDefault="009510FE" w:rsidP="009510FE">
      <w:pPr>
        <w:pStyle w:val="NoSpacing"/>
        <w:ind w:left="720"/>
      </w:pPr>
    </w:p>
    <w:p w:rsidR="009510FE" w:rsidRPr="002D2A7A" w:rsidRDefault="009510FE" w:rsidP="009510FE">
      <w:pPr>
        <w:pStyle w:val="NoSpacing"/>
      </w:pPr>
    </w:p>
    <w:p w:rsidR="001D5B96" w:rsidRPr="002D2A7A" w:rsidRDefault="001D5B96" w:rsidP="001D5B96">
      <w:pPr>
        <w:pStyle w:val="ListParagraph"/>
      </w:pPr>
    </w:p>
    <w:p w:rsidR="00A6256E" w:rsidRPr="002D2A7A" w:rsidRDefault="00A6256E"/>
    <w:sectPr w:rsidR="00A6256E" w:rsidRPr="002D2A7A" w:rsidSect="00625527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27" w:rsidRDefault="00625527" w:rsidP="00625527">
      <w:pPr>
        <w:spacing w:after="0" w:line="240" w:lineRule="auto"/>
      </w:pPr>
      <w:r>
        <w:separator/>
      </w:r>
    </w:p>
  </w:endnote>
  <w:endnote w:type="continuationSeparator" w:id="0">
    <w:p w:rsidR="00625527" w:rsidRDefault="00625527" w:rsidP="0062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gamot Ornaments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27" w:rsidRDefault="00625527" w:rsidP="00625527">
      <w:pPr>
        <w:spacing w:after="0" w:line="240" w:lineRule="auto"/>
      </w:pPr>
      <w:r>
        <w:separator/>
      </w:r>
    </w:p>
  </w:footnote>
  <w:footnote w:type="continuationSeparator" w:id="0">
    <w:p w:rsidR="00625527" w:rsidRDefault="00625527" w:rsidP="0062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27" w:rsidRDefault="0062552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628E8ACA" wp14:editId="116F4B44">
          <wp:simplePos x="0" y="0"/>
          <wp:positionH relativeFrom="column">
            <wp:posOffset>-48895</wp:posOffset>
          </wp:positionH>
          <wp:positionV relativeFrom="paragraph">
            <wp:posOffset>-329565</wp:posOffset>
          </wp:positionV>
          <wp:extent cx="436245" cy="436245"/>
          <wp:effectExtent l="0" t="0" r="1905" b="1905"/>
          <wp:wrapThrough wrapText="bothSides">
            <wp:wrapPolygon edited="0">
              <wp:start x="0" y="0"/>
              <wp:lineTo x="0" y="20751"/>
              <wp:lineTo x="20751" y="20751"/>
              <wp:lineTo x="20751" y="0"/>
              <wp:lineTo x="0" y="0"/>
            </wp:wrapPolygon>
          </wp:wrapThrough>
          <wp:docPr id="3" name="Picture 3" descr="E:\For Bill\Bu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or Bill\Butt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748"/>
    <w:multiLevelType w:val="hybridMultilevel"/>
    <w:tmpl w:val="57863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42DE"/>
    <w:multiLevelType w:val="hybridMultilevel"/>
    <w:tmpl w:val="24146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A2C48"/>
    <w:multiLevelType w:val="hybridMultilevel"/>
    <w:tmpl w:val="EA44D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E2E07"/>
    <w:multiLevelType w:val="hybridMultilevel"/>
    <w:tmpl w:val="2BF0F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47596"/>
    <w:multiLevelType w:val="hybridMultilevel"/>
    <w:tmpl w:val="AF7E2666"/>
    <w:lvl w:ilvl="0" w:tplc="B8B6A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A324F"/>
    <w:multiLevelType w:val="hybridMultilevel"/>
    <w:tmpl w:val="8A94F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C285F"/>
    <w:multiLevelType w:val="hybridMultilevel"/>
    <w:tmpl w:val="F59E68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CD3833"/>
    <w:multiLevelType w:val="hybridMultilevel"/>
    <w:tmpl w:val="BFCA4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5104F"/>
    <w:multiLevelType w:val="hybridMultilevel"/>
    <w:tmpl w:val="6C1E4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A7962"/>
    <w:multiLevelType w:val="hybridMultilevel"/>
    <w:tmpl w:val="45E4C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51B9A"/>
    <w:multiLevelType w:val="hybridMultilevel"/>
    <w:tmpl w:val="26468FB4"/>
    <w:lvl w:ilvl="0" w:tplc="B8B6A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54E5F"/>
    <w:multiLevelType w:val="hybridMultilevel"/>
    <w:tmpl w:val="8F1EE5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DB23E4"/>
    <w:multiLevelType w:val="hybridMultilevel"/>
    <w:tmpl w:val="5BE2530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3170EFF"/>
    <w:multiLevelType w:val="hybridMultilevel"/>
    <w:tmpl w:val="211215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1F3FD4"/>
    <w:multiLevelType w:val="hybridMultilevel"/>
    <w:tmpl w:val="E1F2A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E27E0"/>
    <w:multiLevelType w:val="hybridMultilevel"/>
    <w:tmpl w:val="CA76A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C78E6"/>
    <w:multiLevelType w:val="hybridMultilevel"/>
    <w:tmpl w:val="1366A0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0F73"/>
    <w:multiLevelType w:val="hybridMultilevel"/>
    <w:tmpl w:val="C52A52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3567FD"/>
    <w:multiLevelType w:val="hybridMultilevel"/>
    <w:tmpl w:val="57EC61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4C5F25"/>
    <w:multiLevelType w:val="hybridMultilevel"/>
    <w:tmpl w:val="93849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E6673"/>
    <w:multiLevelType w:val="hybridMultilevel"/>
    <w:tmpl w:val="4E08F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B62E7"/>
    <w:multiLevelType w:val="hybridMultilevel"/>
    <w:tmpl w:val="01A0CDC8"/>
    <w:lvl w:ilvl="0" w:tplc="B8B6A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F4474"/>
    <w:multiLevelType w:val="hybridMultilevel"/>
    <w:tmpl w:val="C3AAD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A28CD"/>
    <w:multiLevelType w:val="hybridMultilevel"/>
    <w:tmpl w:val="B9E2C548"/>
    <w:lvl w:ilvl="0" w:tplc="D196F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B0A34"/>
    <w:multiLevelType w:val="hybridMultilevel"/>
    <w:tmpl w:val="582A9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B71CB"/>
    <w:multiLevelType w:val="hybridMultilevel"/>
    <w:tmpl w:val="8E805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31D33"/>
    <w:multiLevelType w:val="hybridMultilevel"/>
    <w:tmpl w:val="95B0F6B8"/>
    <w:lvl w:ilvl="0" w:tplc="B8B6A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1B7DC9"/>
    <w:multiLevelType w:val="hybridMultilevel"/>
    <w:tmpl w:val="FC0E405E"/>
    <w:lvl w:ilvl="0" w:tplc="F9FCCE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54DFB"/>
    <w:multiLevelType w:val="hybridMultilevel"/>
    <w:tmpl w:val="9F84F5CE"/>
    <w:lvl w:ilvl="0" w:tplc="F9FCCE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73A85"/>
    <w:multiLevelType w:val="hybridMultilevel"/>
    <w:tmpl w:val="8692E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07987"/>
    <w:multiLevelType w:val="hybridMultilevel"/>
    <w:tmpl w:val="0256EC54"/>
    <w:lvl w:ilvl="0" w:tplc="F9FCCE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14BA3"/>
    <w:multiLevelType w:val="hybridMultilevel"/>
    <w:tmpl w:val="0074DA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747F5"/>
    <w:multiLevelType w:val="hybridMultilevel"/>
    <w:tmpl w:val="81CE3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F3C8A"/>
    <w:multiLevelType w:val="hybridMultilevel"/>
    <w:tmpl w:val="51CA2E64"/>
    <w:lvl w:ilvl="0" w:tplc="F9FCCE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560D7"/>
    <w:multiLevelType w:val="hybridMultilevel"/>
    <w:tmpl w:val="35C0844E"/>
    <w:lvl w:ilvl="0" w:tplc="B8B6A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83A51"/>
    <w:multiLevelType w:val="hybridMultilevel"/>
    <w:tmpl w:val="E13A32C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00FB3"/>
    <w:multiLevelType w:val="hybridMultilevel"/>
    <w:tmpl w:val="EE140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E4C8B"/>
    <w:multiLevelType w:val="hybridMultilevel"/>
    <w:tmpl w:val="8B56D8EC"/>
    <w:lvl w:ilvl="0" w:tplc="B8B6A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126F4"/>
    <w:multiLevelType w:val="hybridMultilevel"/>
    <w:tmpl w:val="4A503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5"/>
  </w:num>
  <w:num w:numId="5">
    <w:abstractNumId w:val="9"/>
  </w:num>
  <w:num w:numId="6">
    <w:abstractNumId w:val="0"/>
  </w:num>
  <w:num w:numId="7">
    <w:abstractNumId w:val="12"/>
  </w:num>
  <w:num w:numId="8">
    <w:abstractNumId w:val="22"/>
  </w:num>
  <w:num w:numId="9">
    <w:abstractNumId w:val="24"/>
  </w:num>
  <w:num w:numId="10">
    <w:abstractNumId w:val="1"/>
  </w:num>
  <w:num w:numId="11">
    <w:abstractNumId w:val="27"/>
  </w:num>
  <w:num w:numId="12">
    <w:abstractNumId w:val="33"/>
  </w:num>
  <w:num w:numId="13">
    <w:abstractNumId w:val="28"/>
  </w:num>
  <w:num w:numId="14">
    <w:abstractNumId w:val="30"/>
  </w:num>
  <w:num w:numId="15">
    <w:abstractNumId w:val="2"/>
  </w:num>
  <w:num w:numId="16">
    <w:abstractNumId w:val="20"/>
  </w:num>
  <w:num w:numId="17">
    <w:abstractNumId w:val="31"/>
  </w:num>
  <w:num w:numId="18">
    <w:abstractNumId w:val="14"/>
  </w:num>
  <w:num w:numId="19">
    <w:abstractNumId w:val="18"/>
  </w:num>
  <w:num w:numId="20">
    <w:abstractNumId w:val="36"/>
  </w:num>
  <w:num w:numId="21">
    <w:abstractNumId w:val="15"/>
  </w:num>
  <w:num w:numId="22">
    <w:abstractNumId w:val="19"/>
  </w:num>
  <w:num w:numId="23">
    <w:abstractNumId w:val="26"/>
  </w:num>
  <w:num w:numId="24">
    <w:abstractNumId w:val="4"/>
  </w:num>
  <w:num w:numId="25">
    <w:abstractNumId w:val="34"/>
  </w:num>
  <w:num w:numId="26">
    <w:abstractNumId w:val="37"/>
  </w:num>
  <w:num w:numId="27">
    <w:abstractNumId w:val="10"/>
  </w:num>
  <w:num w:numId="28">
    <w:abstractNumId w:val="21"/>
  </w:num>
  <w:num w:numId="29">
    <w:abstractNumId w:val="13"/>
  </w:num>
  <w:num w:numId="30">
    <w:abstractNumId w:val="3"/>
  </w:num>
  <w:num w:numId="31">
    <w:abstractNumId w:val="29"/>
  </w:num>
  <w:num w:numId="32">
    <w:abstractNumId w:val="7"/>
  </w:num>
  <w:num w:numId="33">
    <w:abstractNumId w:val="8"/>
  </w:num>
  <w:num w:numId="34">
    <w:abstractNumId w:val="35"/>
  </w:num>
  <w:num w:numId="35">
    <w:abstractNumId w:val="32"/>
  </w:num>
  <w:num w:numId="36">
    <w:abstractNumId w:val="17"/>
  </w:num>
  <w:num w:numId="37">
    <w:abstractNumId w:val="11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96"/>
    <w:rsid w:val="000428EF"/>
    <w:rsid w:val="00051B63"/>
    <w:rsid w:val="0005736C"/>
    <w:rsid w:val="00085511"/>
    <w:rsid w:val="0014786B"/>
    <w:rsid w:val="00153D09"/>
    <w:rsid w:val="001B2916"/>
    <w:rsid w:val="001D5B96"/>
    <w:rsid w:val="001E0985"/>
    <w:rsid w:val="002D2A7A"/>
    <w:rsid w:val="00331A04"/>
    <w:rsid w:val="003956CB"/>
    <w:rsid w:val="003F560E"/>
    <w:rsid w:val="003F7018"/>
    <w:rsid w:val="004230EA"/>
    <w:rsid w:val="00455DE5"/>
    <w:rsid w:val="004A64A4"/>
    <w:rsid w:val="004D7748"/>
    <w:rsid w:val="004F3AF9"/>
    <w:rsid w:val="00575BA2"/>
    <w:rsid w:val="00596C38"/>
    <w:rsid w:val="005978A7"/>
    <w:rsid w:val="005A3665"/>
    <w:rsid w:val="005B66D8"/>
    <w:rsid w:val="005D03A9"/>
    <w:rsid w:val="005E447E"/>
    <w:rsid w:val="006016BA"/>
    <w:rsid w:val="00625527"/>
    <w:rsid w:val="00632352"/>
    <w:rsid w:val="00653B1C"/>
    <w:rsid w:val="006B421D"/>
    <w:rsid w:val="006D1EEC"/>
    <w:rsid w:val="006E5252"/>
    <w:rsid w:val="006F42FF"/>
    <w:rsid w:val="00734A9F"/>
    <w:rsid w:val="00766FBA"/>
    <w:rsid w:val="00775388"/>
    <w:rsid w:val="007A5595"/>
    <w:rsid w:val="007E4C4E"/>
    <w:rsid w:val="007E7D87"/>
    <w:rsid w:val="008048DC"/>
    <w:rsid w:val="00810F8C"/>
    <w:rsid w:val="008828D2"/>
    <w:rsid w:val="008C4E5A"/>
    <w:rsid w:val="008D71A3"/>
    <w:rsid w:val="009510FE"/>
    <w:rsid w:val="009D3FF8"/>
    <w:rsid w:val="009E49D0"/>
    <w:rsid w:val="009E672B"/>
    <w:rsid w:val="009F06E5"/>
    <w:rsid w:val="00A14E5B"/>
    <w:rsid w:val="00A156FA"/>
    <w:rsid w:val="00A15E98"/>
    <w:rsid w:val="00A6256E"/>
    <w:rsid w:val="00AD5595"/>
    <w:rsid w:val="00B82344"/>
    <w:rsid w:val="00B967E3"/>
    <w:rsid w:val="00BA34B0"/>
    <w:rsid w:val="00BA5666"/>
    <w:rsid w:val="00C15966"/>
    <w:rsid w:val="00D6181F"/>
    <w:rsid w:val="00DA760F"/>
    <w:rsid w:val="00E0024B"/>
    <w:rsid w:val="00ED7977"/>
    <w:rsid w:val="00F06C62"/>
    <w:rsid w:val="00F203F7"/>
    <w:rsid w:val="00F469D7"/>
    <w:rsid w:val="00FC3280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B96"/>
    <w:pPr>
      <w:ind w:left="720"/>
      <w:contextualSpacing/>
    </w:pPr>
  </w:style>
  <w:style w:type="paragraph" w:customStyle="1" w:styleId="citation">
    <w:name w:val="citation"/>
    <w:basedOn w:val="Normal"/>
    <w:rsid w:val="001D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1D5B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2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52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27"/>
  </w:style>
  <w:style w:type="paragraph" w:styleId="Footer">
    <w:name w:val="footer"/>
    <w:basedOn w:val="Normal"/>
    <w:link w:val="FooterChar"/>
    <w:uiPriority w:val="99"/>
    <w:unhideWhenUsed/>
    <w:rsid w:val="0062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27"/>
  </w:style>
  <w:style w:type="paragraph" w:styleId="EnvelopeReturn">
    <w:name w:val="envelope return"/>
    <w:basedOn w:val="Normal"/>
    <w:uiPriority w:val="99"/>
    <w:semiHidden/>
    <w:unhideWhenUsed/>
    <w:rsid w:val="00153D09"/>
    <w:pPr>
      <w:spacing w:after="0" w:line="240" w:lineRule="auto"/>
    </w:pPr>
    <w:rPr>
      <w:rFonts w:ascii="Bergamot Ornaments" w:eastAsiaTheme="majorEastAsia" w:hAnsi="Bergamot Ornaments" w:cstheme="majorBidi"/>
      <w:sz w:val="72"/>
      <w:szCs w:val="20"/>
      <w:lang w:eastAsia="en-CA"/>
    </w:rPr>
  </w:style>
  <w:style w:type="paragraph" w:styleId="NormalWeb">
    <w:name w:val="Normal (Web)"/>
    <w:basedOn w:val="Normal"/>
    <w:uiPriority w:val="99"/>
    <w:unhideWhenUsed/>
    <w:rsid w:val="0015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04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B96"/>
    <w:pPr>
      <w:ind w:left="720"/>
      <w:contextualSpacing/>
    </w:pPr>
  </w:style>
  <w:style w:type="paragraph" w:customStyle="1" w:styleId="citation">
    <w:name w:val="citation"/>
    <w:basedOn w:val="Normal"/>
    <w:rsid w:val="001D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1D5B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2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52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27"/>
  </w:style>
  <w:style w:type="paragraph" w:styleId="Footer">
    <w:name w:val="footer"/>
    <w:basedOn w:val="Normal"/>
    <w:link w:val="FooterChar"/>
    <w:uiPriority w:val="99"/>
    <w:unhideWhenUsed/>
    <w:rsid w:val="0062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27"/>
  </w:style>
  <w:style w:type="paragraph" w:styleId="EnvelopeReturn">
    <w:name w:val="envelope return"/>
    <w:basedOn w:val="Normal"/>
    <w:uiPriority w:val="99"/>
    <w:semiHidden/>
    <w:unhideWhenUsed/>
    <w:rsid w:val="00153D09"/>
    <w:pPr>
      <w:spacing w:after="0" w:line="240" w:lineRule="auto"/>
    </w:pPr>
    <w:rPr>
      <w:rFonts w:ascii="Bergamot Ornaments" w:eastAsiaTheme="majorEastAsia" w:hAnsi="Bergamot Ornaments" w:cstheme="majorBidi"/>
      <w:sz w:val="72"/>
      <w:szCs w:val="20"/>
      <w:lang w:eastAsia="en-CA"/>
    </w:rPr>
  </w:style>
  <w:style w:type="paragraph" w:styleId="NormalWeb">
    <w:name w:val="Normal (Web)"/>
    <w:basedOn w:val="Normal"/>
    <w:uiPriority w:val="99"/>
    <w:unhideWhenUsed/>
    <w:rsid w:val="0015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04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b/b1/M%C3%A9thamph%C3%A9tamine_pure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upload.wikimedia.org/wikipedia/commons/7/75/Blue_Crystal_Meth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Healthcare Hamilton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2015-04-16T19:51:00Z</dcterms:created>
  <dcterms:modified xsi:type="dcterms:W3CDTF">2015-06-03T19:29:00Z</dcterms:modified>
</cp:coreProperties>
</file>